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Bronstein Ben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ALDEYRA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 HARTWELL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LEXINGTON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Aldeyra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ALDX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5,309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5,309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5,309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1.72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4,977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4,977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Exercisable with respect to 100% of the shares on the one-year anniversary of the grant date, provided that the Reporting Person provides continuous service as a member of the Board of Directors of the Issuer through the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Exercisable with respect to 100% of the shares on the one-year anniversary of the grant date, provided that the Reporting Person provides continuous service as a member of the Nominating/Corporate Governance Committee of the Board of Directors of the Issuer through the applicable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Exercisable with respect to 100% of the shares on the one-year anniversary of the grant date, provided that the Reporting Person provides continuous service as a member of the Audit Committee of the Board of Directors of the Issuer through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Ben Bronstein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4458" TargetMode="External"/><Relationship Id="rId5" Type="http://schemas.openxmlformats.org/officeDocument/2006/relationships/hyperlink" Target="http://www.sec.gov/cgi-bin/browse-edgar?action=getcompany&amp;CIK=00013412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732</Words>
  <Characters>3935</Characters>
  <CharactersWithSpaces>4585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