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DOUGLAS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ALDEYRA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HARTWELL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Aldeyra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19,909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19,909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Exercisable with respect to 100% of the shares on the one-year anniversary of the grant date, provided that the Reporting Person provides continuous service as a member of the Board of Directors of the Issuer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Exercisable with respect to 100% of the shares on the one-year anniversary of the grant date, provided that the Reporting Person provides continuous service as the Chairperson of the Board of Directors of the Issuer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Exercisable with respect to 100% of the shares on the one-year anniversary of the grant date, provided that the Reporting Person provides continuous service as a member of the Nominating/Corporate Governance Committee of the Board of Directors of the Issuer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Douglas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1015" TargetMode="External"/><Relationship Id="rId5" Type="http://schemas.openxmlformats.org/officeDocument/2006/relationships/hyperlink" Target="http://www.sec.gov/cgi-bin/browse-edgar?action=getcompany&amp;CIK=00013412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3930</Characters>
  <CharactersWithSpaces>4576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