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center"/>
        <w:rPr/>
      </w:pPr>
      <w:bookmarkStart w:id="0" w:name="aldx-20260630.htm"/>
      <w:bookmarkStart w:id="1" w:name="ksaldx20260630"/>
      <w:bookmarkEnd w:id="0"/>
      <w:bookmarkEnd w:id="1"/>
      <w:r>
        <w:rPr/>
        <w:t> </w:t>
      </w:r>
    </w:p>
    <w:p>
      <w:pPr>
        <w:pStyle w:val="TextBody"/>
        <w:bidi w:val="0"/>
        <w:spacing w:before="2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360" w:after="283"/>
        <w:jc w:val="center"/>
        <w:rPr>
          <w:rFonts w:ascii="Times New Roman" w:hAnsi="Times New Roman"/>
          <w:sz w:val="20"/>
        </w:rPr>
      </w:pPr>
      <w:r>
        <w:rPr>
          <w:rFonts w:ascii="Times New Roman" w:hAnsi="Times New Roman"/>
          <w:b/>
          <w:color w:val="000000"/>
          <w:sz w:val="20"/>
        </w:rPr>
        <w:t xml:space="preserve">For the transition period from to </w:t>
      </w:r>
      <w:r>
        <w:rPr>
          <w:rFonts w:ascii="Times New Roman" w:hAnsi="Times New Roman"/>
          <w:b/>
          <w:color w:val="FFFFFF"/>
          <w:sz w:val="20"/>
        </w:rPr>
        <w:t>.</w:t>
      </w:r>
    </w:p>
    <w:p>
      <w:pPr>
        <w:pStyle w:val="TextBody"/>
        <w:bidi w:val="0"/>
        <w:spacing w:before="60" w:after="283"/>
        <w:jc w:val="center"/>
        <w:rPr>
          <w:rFonts w:ascii="Times New Roman" w:hAnsi="Times New Roman"/>
          <w:sz w:val="20"/>
        </w:rPr>
      </w:pPr>
      <w:r>
        <w:rPr>
          <w:rFonts w:ascii="Times New Roman" w:hAnsi="Times New Roman"/>
          <w:b/>
          <w:color w:val="000000"/>
          <w:sz w:val="20"/>
        </w:rPr>
        <w:t>Commission File Number: 001-36332</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48"/>
        </w:rPr>
        <w:t>ALDEYRA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20-1968197</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131 Hartwell Avenue, Suite 320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Lexington, 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02421</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(781) 761-4904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848" w:type="dxa"/>
        <w:jc w:val="left"/>
        <w:tblInd w:w="0" w:type="dxa"/>
        <w:tblLayout w:type="fixed"/>
        <w:tblCellMar>
          <w:top w:w="28" w:type="dxa"/>
          <w:left w:w="28" w:type="dxa"/>
          <w:bottom w:w="28" w:type="dxa"/>
          <w:right w:w="28" w:type="dxa"/>
        </w:tblCellMar>
      </w:tblPr>
      <w:tblGrid>
        <w:gridCol w:w="3196"/>
        <w:gridCol w:w="1426"/>
        <w:gridCol w:w="3226"/>
      </w:tblGrid>
      <w:tr>
        <w:trPr/>
        <w:tc>
          <w:tcPr>
            <w:tcW w:w="319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6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31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283"/>
              <w:jc w:val="center"/>
              <w:rPr>
                <w:rFonts w:ascii="Times New Roman" w:hAnsi="Times New Roman"/>
                <w:color w:val="000000"/>
                <w:sz w:val="18"/>
              </w:rPr>
            </w:pPr>
            <w:r>
              <w:rPr>
                <w:rFonts w:ascii="Times New Roman" w:hAnsi="Times New Roman"/>
                <w:color w:val="000000"/>
                <w:sz w:val="18"/>
              </w:rPr>
              <w:t>Common Stock, $0.001 par value per share</w:t>
            </w:r>
          </w:p>
        </w:tc>
        <w:tc>
          <w:tcPr>
            <w:tcW w:w="1426"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color w:val="000000"/>
                <w:sz w:val="18"/>
              </w:rPr>
            </w:pPr>
            <w:r>
              <w:rPr>
                <w:rFonts w:ascii="Times New Roman" w:hAnsi="Times New Roman"/>
                <w:color w:val="000000"/>
                <w:sz w:val="18"/>
              </w:rPr>
              <w:t>ALDX</w:t>
            </w:r>
          </w:p>
        </w:tc>
        <w:tc>
          <w:tcPr>
            <w:tcW w:w="3226"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the “large accelerated filer,” “accelerated filer,” “non-accelerated filer,” “smaller reporting company” and “emerging growth company” in Rule 12b-2 of the Exchange Act. </w:t>
      </w:r>
    </w:p>
    <w:tbl>
      <w:tblPr>
        <w:tblW w:w="4969" w:type="dxa"/>
        <w:jc w:val="left"/>
        <w:tblInd w:w="0" w:type="dxa"/>
        <w:tblLayout w:type="fixed"/>
        <w:tblCellMar>
          <w:top w:w="28" w:type="dxa"/>
          <w:left w:w="28" w:type="dxa"/>
          <w:bottom w:w="28" w:type="dxa"/>
          <w:right w:w="28" w:type="dxa"/>
        </w:tblCellMar>
      </w:tblPr>
      <w:tblGrid>
        <w:gridCol w:w="1921"/>
        <w:gridCol w:w="316"/>
        <w:gridCol w:w="2311"/>
        <w:gridCol w:w="42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r>
    </w:tbl>
    <w:p>
      <w:pPr>
        <w:pStyle w:val="TextBody"/>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 No ☒ </w:t>
      </w:r>
    </w:p>
    <w:p>
      <w:pPr>
        <w:pStyle w:val="TextBody"/>
        <w:bidi w:val="0"/>
        <w:jc w:val="left"/>
        <w:rPr/>
      </w:pPr>
      <w:r>
        <w:rPr/>
        <w:t> </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 xml:space="preserve">As of August 4, 2026, there were 60,326,421 shares of the registrant’s common stock issued and outstanding. </w:t>
      </w:r>
    </w:p>
    <w:p>
      <w:pPr>
        <w:pStyle w:val="TextBody"/>
        <w:pBdr>
          <w:bottom w:val="double" w:sz="4" w:space="1" w:color="000000"/>
        </w:pBdr>
        <w:bidi w:val="0"/>
        <w:spacing w:before="0" w:after="4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Aldeyra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Quarter Ended June 30, 2026</w:t>
      </w:r>
      <w:r>
        <w:rPr>
          <w:rFonts w:ascii="Times New Roman" w:hAnsi="Times New Roman"/>
          <w:color w:val="000000"/>
          <w:sz w:val="20"/>
        </w:rPr>
        <w:t xml:space="preserve">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 xml:space="preserve">INDEX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98"/>
        <w:gridCol w:w="8320"/>
        <w:gridCol w:w="787"/>
      </w:tblGrid>
      <w:tr>
        <w:trPr/>
        <w:tc>
          <w:tcPr>
            <w:tcW w:w="1098" w:type="dxa"/>
            <w:tcBorders/>
            <w:vAlign w:val="center"/>
          </w:tcPr>
          <w:p>
            <w:pPr>
              <w:pStyle w:val="TableContents"/>
              <w:bidi w:val="0"/>
              <w:spacing w:before="0" w:after="283"/>
              <w:jc w:val="left"/>
              <w:rPr>
                <w:sz w:val="4"/>
                <w:szCs w:val="4"/>
              </w:rPr>
            </w:pPr>
            <w:r>
              <w:rPr>
                <w:sz w:val="4"/>
                <w:szCs w:val="4"/>
              </w:rPr>
            </w:r>
          </w:p>
        </w:tc>
        <w:tc>
          <w:tcPr>
            <w:tcW w:w="832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9418" w:type="dxa"/>
            <w:gridSpan w:val="2"/>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787"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10205" w:type="dxa"/>
            <w:gridSpan w:val="3"/>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 – FINANCIAL INFORMATION</w:t>
            </w:r>
          </w:p>
        </w:tc>
      </w:tr>
      <w:tr>
        <w:trPr/>
        <w:tc>
          <w:tcPr>
            <w:tcW w:w="109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32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condensed_financial_statements">
              <w:r>
                <w:rPr>
                  <w:rStyle w:val="InternetLink"/>
                  <w:rFonts w:ascii="Times New Roman" w:hAnsi="Times New Roman"/>
                  <w:color w:val="0000FF"/>
                  <w:sz w:val="20"/>
                  <w:u w:val="single"/>
                </w:rPr>
                <w:t>Condensed Consolidated Financial Statements:</w:t>
              </w:r>
            </w:hyperlink>
          </w:p>
        </w:tc>
        <w:tc>
          <w:tcPr>
            <w:tcW w:w="7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98"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32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balance_sheets">
              <w:r>
                <w:rPr>
                  <w:rStyle w:val="InternetLink"/>
                  <w:rFonts w:ascii="Times New Roman" w:hAnsi="Times New Roman"/>
                  <w:color w:val="0000FF"/>
                  <w:sz w:val="20"/>
                  <w:u w:val="single"/>
                </w:rPr>
                <w:t>Consolidated Balance Sheets at June 30, 2026 (Unaudited) and December 31, 2025</w:t>
              </w:r>
            </w:hyperlink>
          </w:p>
        </w:tc>
        <w:tc>
          <w:tcPr>
            <w:tcW w:w="7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98"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32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s_operations_unaudited">
              <w:r>
                <w:rPr>
                  <w:rStyle w:val="InternetLink"/>
                  <w:rFonts w:ascii="Times New Roman" w:hAnsi="Times New Roman"/>
                  <w:color w:val="0000FF"/>
                  <w:sz w:val="20"/>
                  <w:u w:val="single"/>
                </w:rPr>
                <w:t>Consolidated Statements of Operations for the three and six months ended June 30, 2026 and 2025 (Unaudited)</w:t>
              </w:r>
            </w:hyperlink>
          </w:p>
        </w:tc>
        <w:tc>
          <w:tcPr>
            <w:tcW w:w="7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098"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32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s_comprehensive_loss_unaudited">
              <w:r>
                <w:rPr>
                  <w:rStyle w:val="InternetLink"/>
                  <w:rFonts w:ascii="Times New Roman" w:hAnsi="Times New Roman"/>
                  <w:color w:val="0000FF"/>
                  <w:sz w:val="20"/>
                  <w:u w:val="single"/>
                </w:rPr>
                <w:t>Consolidated Statements of Comprehensive Loss for the three and six months ended June 30, 2026 and 2025 (Unaudited)</w:t>
              </w:r>
            </w:hyperlink>
          </w:p>
        </w:tc>
        <w:tc>
          <w:tcPr>
            <w:tcW w:w="7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098"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32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s_equity">
              <w:r>
                <w:rPr>
                  <w:rStyle w:val="InternetLink"/>
                  <w:rFonts w:ascii="Times New Roman" w:hAnsi="Times New Roman"/>
                  <w:color w:val="0000FF"/>
                  <w:sz w:val="20"/>
                  <w:u w:val="single"/>
                </w:rPr>
                <w:t>Consolidated Statements of Stockholders’ Equity for the three and six months ended June 30, 2026 and 2025 (Unaudited)</w:t>
              </w:r>
            </w:hyperlink>
          </w:p>
        </w:tc>
        <w:tc>
          <w:tcPr>
            <w:tcW w:w="7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098"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32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s_cash_flows_unaudited">
              <w:r>
                <w:rPr>
                  <w:rStyle w:val="InternetLink"/>
                  <w:rFonts w:ascii="Times New Roman" w:hAnsi="Times New Roman"/>
                  <w:color w:val="0000FF"/>
                  <w:sz w:val="20"/>
                  <w:u w:val="single"/>
                </w:rPr>
                <w:t>Consolidated Statements of Cash Flows for the six months ended June 30, 2026 and 2025 (Unaudited)</w:t>
              </w:r>
            </w:hyperlink>
          </w:p>
        </w:tc>
        <w:tc>
          <w:tcPr>
            <w:tcW w:w="7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1098"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32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condensed_financial_statements_">
              <w:r>
                <w:rPr>
                  <w:rStyle w:val="InternetLink"/>
                  <w:rFonts w:ascii="Times New Roman" w:hAnsi="Times New Roman"/>
                  <w:color w:val="0000FF"/>
                  <w:sz w:val="20"/>
                  <w:u w:val="single"/>
                </w:rPr>
                <w:t>Notes to Condensed Consolidated Financial Statements (unaudited)</w:t>
              </w:r>
            </w:hyperlink>
          </w:p>
        </w:tc>
        <w:tc>
          <w:tcPr>
            <w:tcW w:w="787"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9</w:t>
            </w:r>
          </w:p>
        </w:tc>
      </w:tr>
      <w:tr>
        <w:trPr/>
        <w:tc>
          <w:tcPr>
            <w:tcW w:w="109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32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787"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18</w:t>
            </w:r>
          </w:p>
        </w:tc>
      </w:tr>
      <w:tr>
        <w:trPr/>
        <w:tc>
          <w:tcPr>
            <w:tcW w:w="109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32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787"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26</w:t>
            </w:r>
          </w:p>
        </w:tc>
      </w:tr>
      <w:tr>
        <w:trPr/>
        <w:tc>
          <w:tcPr>
            <w:tcW w:w="109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32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controls_procedures">
              <w:r>
                <w:rPr>
                  <w:rStyle w:val="InternetLink"/>
                  <w:rFonts w:ascii="Times New Roman" w:hAnsi="Times New Roman"/>
                  <w:color w:val="0000FF"/>
                  <w:sz w:val="20"/>
                  <w:u w:val="single"/>
                </w:rPr>
                <w:t>Controls and Procedures</w:t>
              </w:r>
            </w:hyperlink>
          </w:p>
        </w:tc>
        <w:tc>
          <w:tcPr>
            <w:tcW w:w="787"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26</w:t>
            </w:r>
          </w:p>
        </w:tc>
      </w:tr>
      <w:tr>
        <w:trPr/>
        <w:tc>
          <w:tcPr>
            <w:tcW w:w="9418"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 – OTHER INFORMATION</w:t>
            </w:r>
          </w:p>
        </w:tc>
        <w:tc>
          <w:tcPr>
            <w:tcW w:w="787"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9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32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legal_proceedings_1">
              <w:r>
                <w:rPr>
                  <w:rStyle w:val="InternetLink"/>
                  <w:rFonts w:ascii="Times New Roman" w:hAnsi="Times New Roman"/>
                  <w:color w:val="0000FF"/>
                  <w:sz w:val="20"/>
                  <w:u w:val="single"/>
                </w:rPr>
                <w:t>Legal Proceedings</w:t>
              </w:r>
            </w:hyperlink>
          </w:p>
        </w:tc>
        <w:tc>
          <w:tcPr>
            <w:tcW w:w="787"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27</w:t>
            </w:r>
          </w:p>
        </w:tc>
      </w:tr>
      <w:tr>
        <w:trPr/>
        <w:tc>
          <w:tcPr>
            <w:tcW w:w="109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32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isk_factors_1">
              <w:r>
                <w:rPr>
                  <w:rStyle w:val="InternetLink"/>
                  <w:rFonts w:ascii="Times New Roman" w:hAnsi="Times New Roman"/>
                  <w:color w:val="0000FF"/>
                  <w:sz w:val="20"/>
                  <w:u w:val="single"/>
                </w:rPr>
                <w:t>Risk Factors</w:t>
              </w:r>
            </w:hyperlink>
          </w:p>
        </w:tc>
        <w:tc>
          <w:tcPr>
            <w:tcW w:w="787"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27</w:t>
            </w:r>
          </w:p>
        </w:tc>
      </w:tr>
      <w:tr>
        <w:trPr/>
        <w:tc>
          <w:tcPr>
            <w:tcW w:w="109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32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787"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84</w:t>
            </w:r>
          </w:p>
        </w:tc>
      </w:tr>
      <w:tr>
        <w:trPr/>
        <w:tc>
          <w:tcPr>
            <w:tcW w:w="109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32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787"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84</w:t>
            </w:r>
          </w:p>
        </w:tc>
      </w:tr>
      <w:tr>
        <w:trPr/>
        <w:tc>
          <w:tcPr>
            <w:tcW w:w="109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32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mine_safety_disclosures">
              <w:r>
                <w:rPr>
                  <w:rStyle w:val="InternetLink"/>
                  <w:rFonts w:ascii="Times New Roman" w:hAnsi="Times New Roman"/>
                  <w:color w:val="0000FF"/>
                  <w:sz w:val="20"/>
                  <w:u w:val="single"/>
                </w:rPr>
                <w:t>Mine Safety Disclosures</w:t>
              </w:r>
            </w:hyperlink>
          </w:p>
        </w:tc>
        <w:tc>
          <w:tcPr>
            <w:tcW w:w="787"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84</w:t>
            </w:r>
          </w:p>
        </w:tc>
      </w:tr>
      <w:tr>
        <w:trPr/>
        <w:tc>
          <w:tcPr>
            <w:tcW w:w="109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32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5_or_information">
              <w:r>
                <w:rPr>
                  <w:rStyle w:val="InternetLink"/>
                  <w:rFonts w:ascii="Times New Roman" w:hAnsi="Times New Roman"/>
                  <w:color w:val="0000FF"/>
                  <w:sz w:val="20"/>
                  <w:u w:val="single"/>
                </w:rPr>
                <w:t>Other Information</w:t>
              </w:r>
            </w:hyperlink>
          </w:p>
        </w:tc>
        <w:tc>
          <w:tcPr>
            <w:tcW w:w="787"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84</w:t>
            </w:r>
          </w:p>
        </w:tc>
      </w:tr>
      <w:tr>
        <w:trPr/>
        <w:tc>
          <w:tcPr>
            <w:tcW w:w="109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32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6_exhibits">
              <w:r>
                <w:rPr>
                  <w:rStyle w:val="InternetLink"/>
                  <w:rFonts w:ascii="Times New Roman" w:hAnsi="Times New Roman"/>
                  <w:color w:val="0000FF"/>
                  <w:sz w:val="20"/>
                  <w:u w:val="single"/>
                </w:rPr>
                <w:t>Exhibits</w:t>
              </w:r>
            </w:hyperlink>
          </w:p>
        </w:tc>
        <w:tc>
          <w:tcPr>
            <w:tcW w:w="787"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85</w:t>
            </w:r>
          </w:p>
        </w:tc>
      </w:tr>
      <w:tr>
        <w:trPr/>
        <w:tc>
          <w:tcPr>
            <w:tcW w:w="9418"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color w:val="0000FF"/>
                  <w:sz w:val="20"/>
                  <w:u w:val="single"/>
                </w:rPr>
                <w:t>Signatures</w:t>
              </w:r>
            </w:hyperlink>
          </w:p>
        </w:tc>
        <w:tc>
          <w:tcPr>
            <w:tcW w:w="7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i_financial_information"/>
      <w:bookmarkEnd w:id="2"/>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3" w:name="item_1_condensed_financial_statements"/>
      <w:bookmarkEnd w:id="3"/>
      <w:r>
        <w:rPr>
          <w:rFonts w:ascii="Times New Roman" w:hAnsi="Times New Roman"/>
          <w:b/>
          <w:color w:val="000000"/>
          <w:sz w:val="20"/>
        </w:rPr>
        <w:t>Item 1.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ALDEYRA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4" w:name="balance_sheets"/>
      <w:bookmarkEnd w:id="4"/>
      <w:r>
        <w:rPr>
          <w:rFonts w:ascii="Times New Roman" w:hAnsi="Times New Roman"/>
          <w:b/>
          <w:color w:val="000000"/>
          <w:sz w:val="20"/>
        </w:rPr>
        <w:t>CONSOLIDATED BALANCE SHEETS</w:t>
      </w:r>
    </w:p>
    <w:p>
      <w:pPr>
        <w:pStyle w:val="TextBody"/>
        <w:bidi w:val="0"/>
        <w:jc w:val="left"/>
        <w:rPr/>
      </w:pPr>
      <w:r>
        <w:rPr/>
        <w:t> </w:t>
      </w:r>
    </w:p>
    <w:tbl>
      <w:tblPr>
        <w:tblW w:w="10094" w:type="dxa"/>
        <w:jc w:val="left"/>
        <w:tblInd w:w="0" w:type="dxa"/>
        <w:tblLayout w:type="fixed"/>
        <w:tblCellMar>
          <w:top w:w="28" w:type="dxa"/>
          <w:left w:w="28" w:type="dxa"/>
          <w:bottom w:w="28" w:type="dxa"/>
          <w:right w:w="28" w:type="dxa"/>
        </w:tblCellMar>
      </w:tblPr>
      <w:tblGrid>
        <w:gridCol w:w="6201"/>
        <w:gridCol w:w="146"/>
        <w:gridCol w:w="211"/>
        <w:gridCol w:w="1201"/>
        <w:gridCol w:w="166"/>
        <w:gridCol w:w="146"/>
        <w:gridCol w:w="211"/>
        <w:gridCol w:w="1201"/>
        <w:gridCol w:w="611"/>
      </w:tblGrid>
      <w:tr>
        <w:trPr/>
        <w:tc>
          <w:tcPr>
            <w:tcW w:w="6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45,089,786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70,041,254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1,742,202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47,378,906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71,783,456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275,861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47,540,559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72,059,317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6,120,297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15,249,632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9,655,256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27,808,927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2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9,655,256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2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27,808,927</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(Notes 3, 9, &amp;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15,000,000 shares authorized, none</w:t>
              <w:br/>
              <w:t>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voting, $0.001 par value; 150,000,000 authorized and</w:t>
              <w:br/>
              <w:t>  60,321,068 and 60,162,773 shares issued and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530,685,127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528,147,480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(492,860,145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(483,957,253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37,885,303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44,250,390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47,540,559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72,059,317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ALDEYRA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5" w:name="statements_operations_unaudited"/>
      <w:bookmarkEnd w:id="5"/>
      <w:r>
        <w:rPr>
          <w:rFonts w:ascii="Times New Roman" w:hAnsi="Times New Roman"/>
          <w:b/>
          <w:color w:val="000000"/>
          <w:sz w:val="20"/>
        </w:rPr>
        <w:t>CONSOLIDATED STATEMENTS OF OPERATIONS (Unaudited)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50"/>
        <w:gridCol w:w="146"/>
        <w:gridCol w:w="211"/>
        <w:gridCol w:w="1036"/>
        <w:gridCol w:w="166"/>
        <w:gridCol w:w="146"/>
        <w:gridCol w:w="211"/>
        <w:gridCol w:w="1096"/>
        <w:gridCol w:w="166"/>
        <w:gridCol w:w="211"/>
        <w:gridCol w:w="1036"/>
        <w:gridCol w:w="166"/>
        <w:gridCol w:w="146"/>
        <w:gridCol w:w="211"/>
        <w:gridCol w:w="1096"/>
        <w:gridCol w:w="811"/>
      </w:tblGrid>
      <w:tr>
        <w:trPr/>
        <w:tc>
          <w:tcPr>
            <w:tcW w:w="3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8,505,229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5,894,089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15,928,552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4,667,639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(5,850,507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(10,168,732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(9,397,425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(20,596,191</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1,853,525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(954,147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899,378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(5,450,273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(9,767,312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(8,902,892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(19,696,813</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60,321,068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60,045,530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60,320,184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59,966,841</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ALDEYRA THERAPEUTICS, INC.</w:t>
      </w:r>
    </w:p>
    <w:p>
      <w:pPr>
        <w:pStyle w:val="TextBody"/>
        <w:bidi w:val="0"/>
        <w:spacing w:before="240" w:after="283"/>
        <w:jc w:val="center"/>
        <w:rPr>
          <w:rFonts w:ascii="Times New Roman" w:hAnsi="Times New Roman"/>
          <w:b/>
          <w:color w:val="000000"/>
          <w:sz w:val="20"/>
        </w:rPr>
      </w:pPr>
      <w:bookmarkStart w:id="6" w:name="statements_comprehensive_loss_unaudited"/>
      <w:bookmarkEnd w:id="6"/>
      <w:r>
        <w:rPr>
          <w:rFonts w:ascii="Times New Roman" w:hAnsi="Times New Roman"/>
          <w:b/>
          <w:color w:val="000000"/>
          <w:sz w:val="20"/>
        </w:rPr>
        <w:t>CONSOLIDATED STATEMENTS OF COMPREHENSIVE LOSS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99"/>
        <w:gridCol w:w="146"/>
        <w:gridCol w:w="211"/>
        <w:gridCol w:w="991"/>
        <w:gridCol w:w="266"/>
        <w:gridCol w:w="246"/>
        <w:gridCol w:w="211"/>
        <w:gridCol w:w="991"/>
        <w:gridCol w:w="266"/>
        <w:gridCol w:w="246"/>
        <w:gridCol w:w="211"/>
        <w:gridCol w:w="991"/>
        <w:gridCol w:w="266"/>
        <w:gridCol w:w="246"/>
        <w:gridCol w:w="211"/>
        <w:gridCol w:w="1096"/>
        <w:gridCol w:w="611"/>
      </w:tblGrid>
      <w:tr>
        <w:trPr/>
        <w:tc>
          <w:tcPr>
            <w:tcW w:w="2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9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(5,450,273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(9,767,312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(8,902,892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(19,696,813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loss on marketable securities,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(12,593</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(12,593</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(48,437</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(5,450,273</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(9,779,905</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(8,902,892</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(19,745,250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ALDEYRA THERAPEUTICS, INC.</w:t>
      </w:r>
    </w:p>
    <w:p>
      <w:pPr>
        <w:pStyle w:val="TextBody"/>
        <w:bidi w:val="0"/>
        <w:spacing w:before="240" w:after="120"/>
        <w:jc w:val="center"/>
        <w:rPr>
          <w:rFonts w:ascii="Times New Roman" w:hAnsi="Times New Roman"/>
          <w:b/>
          <w:color w:val="000000"/>
          <w:sz w:val="20"/>
        </w:rPr>
      </w:pPr>
      <w:bookmarkStart w:id="7" w:name="statements_equity"/>
      <w:bookmarkEnd w:id="7"/>
      <w:r>
        <w:rPr>
          <w:rFonts w:ascii="Times New Roman" w:hAnsi="Times New Roman"/>
          <w:b/>
          <w:color w:val="000000"/>
          <w:sz w:val="20"/>
        </w:rPr>
        <w:t>CONSOLIDATED STATEMENTS OF STOCKHOLDERS' EQUITY (Unaudited)</w:t>
      </w:r>
    </w:p>
    <w:tbl>
      <w:tblPr>
        <w:tblW w:w="10584" w:type="dxa"/>
        <w:jc w:val="left"/>
        <w:tblInd w:w="0" w:type="dxa"/>
        <w:tblLayout w:type="fixed"/>
        <w:tblCellMar>
          <w:top w:w="28" w:type="dxa"/>
          <w:left w:w="28" w:type="dxa"/>
          <w:bottom w:w="28" w:type="dxa"/>
          <w:right w:w="28" w:type="dxa"/>
        </w:tblCellMar>
      </w:tblPr>
      <w:tblGrid>
        <w:gridCol w:w="1351"/>
        <w:gridCol w:w="146"/>
        <w:gridCol w:w="146"/>
        <w:gridCol w:w="1036"/>
        <w:gridCol w:w="146"/>
        <w:gridCol w:w="146"/>
        <w:gridCol w:w="211"/>
        <w:gridCol w:w="676"/>
        <w:gridCol w:w="146"/>
        <w:gridCol w:w="146"/>
        <w:gridCol w:w="211"/>
        <w:gridCol w:w="1141"/>
        <w:gridCol w:w="166"/>
        <w:gridCol w:w="146"/>
        <w:gridCol w:w="270"/>
        <w:gridCol w:w="946"/>
        <w:gridCol w:w="166"/>
        <w:gridCol w:w="146"/>
        <w:gridCol w:w="211"/>
        <w:gridCol w:w="1201"/>
        <w:gridCol w:w="166"/>
        <w:gridCol w:w="146"/>
        <w:gridCol w:w="211"/>
        <w:gridCol w:w="1096"/>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Comprehensive</w:t>
              <w:br/>
              <w:t>Income/(Loss),</w:t>
              <w:br/>
              <w:t>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60,162,773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528,147,480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(483,957,253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44,250,390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2,466,665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exercise</w:t>
              <w:br/>
              <w:t>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vested</w:t>
              <w:br/>
              <w:t>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(8,902,892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(8,902,892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60,321,068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530,685,127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(492,860,145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37,885,303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59,648,278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521,018,373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(450,110,592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71,004,871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3,025,711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exercise</w:t>
              <w:br/>
              <w:t>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983,194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employee</w:t>
              <w:br/>
              <w:t>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vested</w:t>
              <w:br/>
              <w:t>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(19,696,813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(19,696,813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60,045,530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525,046,496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(469,807,405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55,288,142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ALDEYRA THERAPEUTICS, INC.</w:t>
      </w:r>
    </w:p>
    <w:p>
      <w:pPr>
        <w:pStyle w:val="TextBody"/>
        <w:bidi w:val="0"/>
        <w:spacing w:before="240" w:after="120"/>
        <w:jc w:val="center"/>
        <w:rPr>
          <w:rFonts w:ascii="Times New Roman" w:hAnsi="Times New Roman"/>
          <w:b/>
          <w:color w:val="000000"/>
          <w:sz w:val="20"/>
        </w:rPr>
      </w:pPr>
      <w:r>
        <w:rPr>
          <w:rFonts w:ascii="Times New Roman" w:hAnsi="Times New Roman"/>
          <w:b/>
          <w:color w:val="000000"/>
          <w:sz w:val="20"/>
        </w:rPr>
        <w:t>CONSOLIDATED STATEMENTS OF STOCKHOLDERS' EQUITY (Unaudited)</w:t>
      </w:r>
    </w:p>
    <w:p>
      <w:pPr>
        <w:pStyle w:val="TextBody"/>
        <w:bidi w:val="0"/>
        <w:jc w:val="left"/>
        <w:rPr/>
      </w:pPr>
      <w:r>
        <w:rPr/>
        <w:t> </w:t>
      </w:r>
    </w:p>
    <w:tbl>
      <w:tblPr>
        <w:tblW w:w="10504" w:type="dxa"/>
        <w:jc w:val="left"/>
        <w:tblInd w:w="0" w:type="dxa"/>
        <w:tblLayout w:type="fixed"/>
        <w:tblCellMar>
          <w:top w:w="28" w:type="dxa"/>
          <w:left w:w="28" w:type="dxa"/>
          <w:bottom w:w="28" w:type="dxa"/>
          <w:right w:w="28" w:type="dxa"/>
        </w:tblCellMar>
      </w:tblPr>
      <w:tblGrid>
        <w:gridCol w:w="1351"/>
        <w:gridCol w:w="146"/>
        <w:gridCol w:w="146"/>
        <w:gridCol w:w="1036"/>
        <w:gridCol w:w="146"/>
        <w:gridCol w:w="146"/>
        <w:gridCol w:w="211"/>
        <w:gridCol w:w="676"/>
        <w:gridCol w:w="146"/>
        <w:gridCol w:w="146"/>
        <w:gridCol w:w="211"/>
        <w:gridCol w:w="1141"/>
        <w:gridCol w:w="146"/>
        <w:gridCol w:w="146"/>
        <w:gridCol w:w="270"/>
        <w:gridCol w:w="946"/>
        <w:gridCol w:w="166"/>
        <w:gridCol w:w="146"/>
        <w:gridCol w:w="211"/>
        <w:gridCol w:w="1201"/>
        <w:gridCol w:w="166"/>
        <w:gridCol w:w="146"/>
        <w:gridCol w:w="211"/>
        <w:gridCol w:w="1036"/>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Comprehensive</w:t>
              <w:br/>
              <w:t>Income/(Loss),</w:t>
              <w:br/>
              <w:t>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60,321,068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529,506,343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(487,409,872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42,156,792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1,178,784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(5,450,273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60,321,068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530,685,127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(492,860,145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37,885,303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60,045,530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523,577,026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(460,040,093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63,598,577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1,469,470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(9,767,312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(9,767,312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60,045,530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525,046,496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(469,807,405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55,288,142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ALDEYRA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8" w:name="statements_cash_flows_unaudited"/>
      <w:bookmarkEnd w:id="8"/>
      <w:r>
        <w:rPr>
          <w:rFonts w:ascii="Times New Roman" w:hAnsi="Times New Roman"/>
          <w:b/>
          <w:color w:val="000000"/>
          <w:sz w:val="20"/>
        </w:rPr>
        <w:t>CONSOLIDATED STATEMENTS OF CASH FLOWS (Unaudited)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22"/>
        <w:gridCol w:w="146"/>
        <w:gridCol w:w="211"/>
        <w:gridCol w:w="1096"/>
        <w:gridCol w:w="166"/>
        <w:gridCol w:w="146"/>
        <w:gridCol w:w="211"/>
        <w:gridCol w:w="1096"/>
        <w:gridCol w:w="611"/>
      </w:tblGrid>
      <w:tr>
        <w:trPr/>
        <w:tc>
          <w:tcPr>
            <w:tcW w:w="6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(8,902,892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(19,696,813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2,420,578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amortization of premium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(838,915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123,194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Write-off of 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267,261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849,077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(4,975,186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(9,699,511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(21,024,921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(40,263,712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47,000,000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6,736,288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983,194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end of term charge paid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(15,228,860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1,002,810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(24,951,468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(13,285,823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70,041,254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54,527,092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45,089,786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41,241,269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during the period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841,750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INFORMATION AND DISCLOSURES OF 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 in right-of-use asset and lease liability due to lease amendment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260,899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ALDEYRA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9" w:name="notes_to_condensed_financial_statements_"/>
      <w:bookmarkEnd w:id="9"/>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NATURE OF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Aldeyra Therapeutics, Inc., together with its wholly owned subsidiaries (the “Company” or “Aldeyra”), a Delaware corporation, is a clinical-stage biotechnology company devoted to discovering and developing innovative therapies designed to treat immune-mediated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principal activities of the Company to date include research and development activities along with related general business planning.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BASIS OF PRESENTATION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interim condensed consolidated financial statements and related disclosures are unaudited and have been prepared in accordance with U.S. generally accepted accounting principles (GAAP) for interim financial information and the instructions to Form 10-Q and Regulation S-X. Accordingly, the interim condensed consolidated financial statements do not include all the information and footnotes required by GAAP for complete financial statements and should be read in conjunction with the audited consolidated financial statements and related notes included in the Annual Report on Form 10-K for the year ended December 31, 2025, which was filed with the Securities and Exchange Commission on February 27, 2026 (2025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opinion of management, all adjustments, consisting only of normal recurring adjustments considered necessary for the fair presentation of financial position, results of operations, and cash flows at the dates and for the periods presented, have been included. The balance sheet data as of December 31, 2025 was derived from audited consolidated financial statements. The results of the Company’s operations for any interim periods are not necessarily indicative of the results that may be expected for any other interim period or for a full fiscal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 current operating plan of the Company, and excluding any potential licensing and product revenue, the Company believes that cash and cash equivalents will be sufficient to fund the currently projected operating expenses for at least the next 12 months from the date the financial statements are issued. The Company has based projections of operating capital requirements on the current operating plan, which includes assumptions that may prove to be incorrect, and the Company may use all available capital resources sooner than the Company expects. The Company will need to secure additional funding in the future, from one or more equity or debt financings, collaborations, or other sources, for the Company to carry out all of the planned research and development activities and regulatory activities; commence or continue ongoing commercialization activities, including manufacturing, sales, marketing and distribution, for any product candidates for which the Company may receive marketing approval; or satisfy any substantial, additional development requirements requested by the U.S. Food and Drug Administration (FDA). Additional funding may not be available to the Company on acceptable terms, or at all. Inability to secure additional funding could force the Company to delay, reduce, or eliminate research and development programs or reproxalap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Curtailment of operations would cause significant delays in the efforts of the Company to develop and introduce products to market, which is critical to the realization of the business plan and the future operations of the Company.</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management to make estimates and assumptions, including fair value estimates for investments that affect the reported amounts of assets and liabilities, and requires the disclosure of contingent assets and liabilities at the date of the condensed consolidated financial statements, and the reported amounts of expenses during the reporting periods. The Company’s management evaluates estimates and assumptions on an ongoing basis. Management’s most significant estimates in the Company’s condensed consolidated financial statements include, but are not limited to, deferred and accrued research and development costs, stock-based compensation, and accounting for income taxes and related valuation allowance. Although the estimates and assumptions are based on the Company’s knowledge of current events and actions the Company may undertake in the future, actual results may ultimately materially differ from the estimates and assumptions.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to significant accounting policies during the six months ended June 30, 2026, as compared to those identified in the 2025 Annual Report.</w:t>
      </w:r>
    </w:p>
    <w:p>
      <w:pPr>
        <w:pStyle w:val="TextBody"/>
        <w:bidi w:val="0"/>
        <w:spacing w:before="240" w:after="283"/>
        <w:jc w:val="left"/>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Disaggregation of Income Statement Expenses</w:t>
      </w:r>
      <w:r>
        <w:rPr>
          <w:rFonts w:ascii="Times New Roman" w:hAnsi="Times New Roman"/>
          <w:color w:val="000000"/>
          <w:sz w:val="20"/>
        </w:rPr>
        <w:t xml:space="preserve"> (ASU 2024-03). ASU 2024-03 requires public business entities to disclose in the notes to the financial statements, among other things, specific information about certain costs and expenses including purchases of inventory; employee compensation; and depreciation, amortization, and depletion expenses for each caption on the income statement where such expenses are included. ASU 2024-03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evaluating the disclosure requirements related to the new standard.</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3.</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Helio Vision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January 2018 acquisition of Helio Vision, Inc. (Helio), the Company obtained the rights to develop ADX</w:t>
        <w:noBreakHyphen/>
        <w:t>2191 for the treatment of proliferative vitreoretinopathy (the Helio Product Candidate) pursuant to an Agreement and Plan of Merger dated as of January 24, 2019 (the Merger Agreement). Under the Merger Agreement, the Company may be required to issue additional shares of common stock to the former securityholders and an advisor of Helio upon achievement of certain FDA regulatory milestones related to the Helio Product Candidate (the Milestone Shares). During the year ended December 31, 2024, the Company ceased development of the Helio Product Candidate for the treatment of proliferative vitreoretinopathy. As a result, subject to the terms and conditions of the Merger Agreement, the Helio Product Candidate and related intellectual property rights may revert to an entity designated by the representative of the former Helio securityholders, if the agreement is terminated.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the contingent obligation to issue the Milestone Shares under FASB ASC Topic 450, </w:t>
      </w:r>
      <w:r>
        <w:rPr>
          <w:rFonts w:ascii="Times New Roman" w:hAnsi="Times New Roman"/>
          <w:i/>
          <w:color w:val="000000"/>
          <w:sz w:val="20"/>
        </w:rPr>
        <w:t>Contingencies</w:t>
      </w:r>
      <w:r>
        <w:rPr>
          <w:rFonts w:ascii="Times New Roman" w:hAnsi="Times New Roman"/>
          <w:color w:val="000000"/>
          <w:sz w:val="20"/>
        </w:rPr>
        <w:t>. As of June 30, 2026, no remaining regulatory milestones were considered probable of being achieved and, accordingly, no liability has been recorded.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NET LOSS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2026 and 2025, diluted weighted average common shares outstanding are equal to basic weighted average common shares due to the net loss position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potentially dilutive securities outstanding had an antidilutive impact and were therefore excluded from the computation of diluted weighted-average shares outstanding: </w:t>
      </w:r>
    </w:p>
    <w:p>
      <w:pPr>
        <w:pStyle w:val="TextBody"/>
        <w:bidi w:val="0"/>
        <w:jc w:val="left"/>
        <w:rPr/>
      </w:pPr>
      <w:r>
        <w:rPr/>
        <w:t> </w:t>
      </w:r>
    </w:p>
    <w:tbl>
      <w:tblPr>
        <w:tblW w:w="6757" w:type="dxa"/>
        <w:jc w:val="left"/>
        <w:tblInd w:w="0" w:type="dxa"/>
        <w:tblLayout w:type="fixed"/>
        <w:tblCellMar>
          <w:top w:w="28" w:type="dxa"/>
          <w:left w:w="28" w:type="dxa"/>
          <w:bottom w:w="28" w:type="dxa"/>
          <w:right w:w="28" w:type="dxa"/>
        </w:tblCellMar>
      </w:tblPr>
      <w:tblGrid>
        <w:gridCol w:w="2986"/>
        <w:gridCol w:w="146"/>
        <w:gridCol w:w="205"/>
        <w:gridCol w:w="1307"/>
        <w:gridCol w:w="205"/>
        <w:gridCol w:w="205"/>
        <w:gridCol w:w="205"/>
        <w:gridCol w:w="1307"/>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and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9,279,218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8,605,370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89,808</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of common stock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9,369,026</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8,969,937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 xml:space="preserve">CASH, CASH EQUIVALENTS, AND MARKETABLE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2026, cash and cash equivalents were comprised of: </w:t>
      </w:r>
    </w:p>
    <w:p>
      <w:pPr>
        <w:pStyle w:val="TextBody"/>
        <w:bidi w:val="0"/>
        <w:jc w:val="left"/>
        <w:rPr/>
      </w:pPr>
      <w:r>
        <w:rPr/>
        <w:t> </w:t>
      </w:r>
    </w:p>
    <w:tbl>
      <w:tblPr>
        <w:tblW w:w="7655" w:type="dxa"/>
        <w:jc w:val="left"/>
        <w:tblInd w:w="0" w:type="dxa"/>
        <w:tblLayout w:type="fixed"/>
        <w:tblCellMar>
          <w:top w:w="28" w:type="dxa"/>
          <w:left w:w="28" w:type="dxa"/>
          <w:bottom w:w="28" w:type="dxa"/>
          <w:right w:w="28" w:type="dxa"/>
        </w:tblCellMar>
      </w:tblPr>
      <w:tblGrid>
        <w:gridCol w:w="2701"/>
        <w:gridCol w:w="146"/>
        <w:gridCol w:w="211"/>
        <w:gridCol w:w="1036"/>
        <w:gridCol w:w="146"/>
        <w:gridCol w:w="146"/>
        <w:gridCol w:w="146"/>
        <w:gridCol w:w="211"/>
        <w:gridCol w:w="1036"/>
        <w:gridCol w:w="146"/>
        <w:gridCol w:w="146"/>
        <w:gridCol w:w="211"/>
        <w:gridCol w:w="1036"/>
        <w:gridCol w:w="146"/>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w:t>
              <w:br/>
              <w:t>Equivalents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41,187,240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41,187,240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41,187,240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45,089,786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45,089,786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45,089,786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contractual maturities of all cash equivalents and available for sale securities were less than one year at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December 31, 2025, cash and cash equivalents were comprised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09" w:type="dxa"/>
        <w:jc w:val="left"/>
        <w:tblInd w:w="0" w:type="dxa"/>
        <w:tblLayout w:type="fixed"/>
        <w:tblCellMar>
          <w:top w:w="28" w:type="dxa"/>
          <w:left w:w="28" w:type="dxa"/>
          <w:bottom w:w="28" w:type="dxa"/>
          <w:right w:w="28" w:type="dxa"/>
        </w:tblCellMar>
      </w:tblPr>
      <w:tblGrid>
        <w:gridCol w:w="2701"/>
        <w:gridCol w:w="146"/>
        <w:gridCol w:w="211"/>
        <w:gridCol w:w="1036"/>
        <w:gridCol w:w="146"/>
        <w:gridCol w:w="146"/>
        <w:gridCol w:w="146"/>
        <w:gridCol w:w="211"/>
        <w:gridCol w:w="1036"/>
        <w:gridCol w:w="146"/>
        <w:gridCol w:w="146"/>
        <w:gridCol w:w="211"/>
        <w:gridCol w:w="1036"/>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w:t>
              <w:br/>
              <w:t>Value</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w:t>
              <w:br/>
              <w:t>Equivalents</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29,566,736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29,566,736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29,566,736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40,474,518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40,474,518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40,474,518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70,041,254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70,041,254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70,041,254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marketable securities held at June 30, 2026 and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FAIR VALUE MEASUREMENTS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ASC 820, </w:t>
      </w:r>
      <w:r>
        <w:rPr>
          <w:rFonts w:ascii="Times New Roman" w:hAnsi="Times New Roman"/>
          <w:i/>
          <w:color w:val="000000"/>
          <w:sz w:val="20"/>
        </w:rPr>
        <w:t>Fair Value Measurements</w:t>
      </w:r>
      <w:r>
        <w:rPr>
          <w:rFonts w:ascii="Times New Roman" w:hAnsi="Times New Roman"/>
          <w:color w:val="000000"/>
          <w:sz w:val="20"/>
        </w:rPr>
        <w:t xml:space="preserve">, establishes a fair value hierarchy based on three levels of inputs, of which the first two are considered observable and the last unobservable, that may be used to measure fair value, which are the following: </w:t>
      </w:r>
    </w:p>
    <w:p>
      <w:pPr>
        <w:pStyle w:val="TextBody"/>
        <w:bidi w:val="0"/>
        <w:spacing w:before="120" w:after="283"/>
        <w:jc w:val="left"/>
        <w:rPr>
          <w:rFonts w:ascii="Times New Roman" w:hAnsi="Times New Roman"/>
          <w:sz w:val="20"/>
        </w:rPr>
      </w:pPr>
      <w:r>
        <w:rPr>
          <w:rFonts w:ascii="Times New Roman" w:hAnsi="Times New Roman"/>
          <w:b/>
          <w:color w:val="000000"/>
          <w:sz w:val="20"/>
        </w:rPr>
        <w:t>Level 1</w:t>
      </w:r>
      <w:r>
        <w:rPr>
          <w:rFonts w:ascii="Times New Roman" w:hAnsi="Times New Roman"/>
          <w:color w:val="000000"/>
          <w:sz w:val="20"/>
        </w:rPr>
        <w:t xml:space="preserve"> – Quoted prices in active markets that are accessible at the market date for identical unrestricted assets or liabilities. </w:t>
      </w:r>
    </w:p>
    <w:p>
      <w:pPr>
        <w:pStyle w:val="TextBody"/>
        <w:bidi w:val="0"/>
        <w:spacing w:before="120" w:after="283"/>
        <w:jc w:val="left"/>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 xml:space="preserve"> – 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 </w:t>
      </w:r>
    </w:p>
    <w:p>
      <w:pPr>
        <w:pStyle w:val="TextBody"/>
        <w:bidi w:val="0"/>
        <w:spacing w:before="120" w:after="283"/>
        <w:jc w:val="left"/>
        <w:rPr>
          <w:rFonts w:ascii="Times New Roman" w:hAnsi="Times New Roman"/>
          <w:sz w:val="20"/>
        </w:rPr>
      </w:pPr>
      <w:r>
        <w:rPr>
          <w:rFonts w:ascii="Times New Roman" w:hAnsi="Times New Roman"/>
          <w:b/>
          <w:color w:val="000000"/>
          <w:sz w:val="20"/>
        </w:rPr>
        <w:t>Level 3</w:t>
      </w:r>
      <w:r>
        <w:rPr>
          <w:rFonts w:ascii="Times New Roman" w:hAnsi="Times New Roman"/>
          <w:color w:val="000000"/>
          <w:sz w:val="20"/>
        </w:rPr>
        <w:t xml:space="preserve"> – Unobservable inputs that are supported by little or no market activity and that are significant to the fair value of the assets or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information about the Company’s assets measured at fair value at June 30, 2026 and December 31, 2025:</w:t>
      </w:r>
    </w:p>
    <w:p>
      <w:pPr>
        <w:pStyle w:val="TextBody"/>
        <w:bidi w:val="0"/>
        <w:jc w:val="left"/>
        <w:rPr/>
      </w:pPr>
      <w:r>
        <w:rPr/>
        <w:t> </w:t>
      </w:r>
    </w:p>
    <w:tbl>
      <w:tblPr>
        <w:tblW w:w="7038" w:type="dxa"/>
        <w:jc w:val="left"/>
        <w:tblInd w:w="0" w:type="dxa"/>
        <w:tblLayout w:type="fixed"/>
        <w:tblCellMar>
          <w:top w:w="28" w:type="dxa"/>
          <w:left w:w="28" w:type="dxa"/>
          <w:bottom w:w="28" w:type="dxa"/>
          <w:right w:w="28" w:type="dxa"/>
        </w:tblCellMar>
      </w:tblPr>
      <w:tblGrid>
        <w:gridCol w:w="2071"/>
        <w:gridCol w:w="146"/>
        <w:gridCol w:w="211"/>
        <w:gridCol w:w="1036"/>
        <w:gridCol w:w="146"/>
        <w:gridCol w:w="146"/>
        <w:gridCol w:w="239"/>
        <w:gridCol w:w="391"/>
        <w:gridCol w:w="146"/>
        <w:gridCol w:w="146"/>
        <w:gridCol w:w="239"/>
        <w:gridCol w:w="391"/>
        <w:gridCol w:w="146"/>
        <w:gridCol w:w="146"/>
        <w:gridCol w:w="211"/>
        <w:gridCol w:w="103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41,187,240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41,187,240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41,187,240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41,187,240</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038" w:type="dxa"/>
        <w:jc w:val="left"/>
        <w:tblInd w:w="0" w:type="dxa"/>
        <w:tblLayout w:type="fixed"/>
        <w:tblCellMar>
          <w:top w:w="28" w:type="dxa"/>
          <w:left w:w="28" w:type="dxa"/>
          <w:bottom w:w="28" w:type="dxa"/>
          <w:right w:w="28" w:type="dxa"/>
        </w:tblCellMar>
      </w:tblPr>
      <w:tblGrid>
        <w:gridCol w:w="2071"/>
        <w:gridCol w:w="146"/>
        <w:gridCol w:w="211"/>
        <w:gridCol w:w="1036"/>
        <w:gridCol w:w="146"/>
        <w:gridCol w:w="146"/>
        <w:gridCol w:w="239"/>
        <w:gridCol w:w="391"/>
        <w:gridCol w:w="146"/>
        <w:gridCol w:w="146"/>
        <w:gridCol w:w="239"/>
        <w:gridCol w:w="391"/>
        <w:gridCol w:w="146"/>
        <w:gridCol w:w="146"/>
        <w:gridCol w:w="211"/>
        <w:gridCol w:w="103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40,474,518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40,474,518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40,474,518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40,474,518</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Money market funds that are included in cash and cash equivalents in the consolidated balance sheets, are valued at quoted market prices in active markets.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liabilities measured at fair value at June 30, 2026 or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including clinical trial prepayments to contract research organizations and accounts payable, are carried in the condensed consolidated financial statements at amounts that approximate fair value based on the short maturities of the instruments.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PREPAID EXPENSES AND OTHER CURRENT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at June 30, 2026 and December 31, 2025 were:</w:t>
      </w:r>
    </w:p>
    <w:p>
      <w:pPr>
        <w:pStyle w:val="TextBody"/>
        <w:bidi w:val="0"/>
        <w:jc w:val="left"/>
        <w:rPr/>
      </w:pPr>
      <w:r>
        <w:rPr/>
        <w:t> </w:t>
      </w:r>
    </w:p>
    <w:tbl>
      <w:tblPr>
        <w:tblW w:w="7594" w:type="dxa"/>
        <w:jc w:val="left"/>
        <w:tblInd w:w="0" w:type="dxa"/>
        <w:tblLayout w:type="fixed"/>
        <w:tblCellMar>
          <w:top w:w="28" w:type="dxa"/>
          <w:left w:w="28" w:type="dxa"/>
          <w:bottom w:w="28" w:type="dxa"/>
          <w:right w:w="28" w:type="dxa"/>
        </w:tblCellMar>
      </w:tblPr>
      <w:tblGrid>
        <w:gridCol w:w="4681"/>
        <w:gridCol w:w="146"/>
        <w:gridCol w:w="211"/>
        <w:gridCol w:w="931"/>
        <w:gridCol w:w="146"/>
        <w:gridCol w:w="146"/>
        <w:gridCol w:w="211"/>
        <w:gridCol w:w="931"/>
        <w:gridCol w:w="1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1,043,086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Miscellaneous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1,742,202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w:t>
      </w:r>
    </w:p>
    <w:p>
      <w:pPr>
        <w:pStyle w:val="TextBody"/>
        <w:bidi w:val="0"/>
        <w:jc w:val="left"/>
        <w:rPr>
          <w:rFonts w:ascii="Times New Roman" w:hAnsi="Times New Roman"/>
          <w:b/>
          <w:color w:val="000000"/>
          <w:sz w:val="20"/>
        </w:rPr>
      </w:pPr>
      <w:r>
        <w:rPr>
          <w:rFonts w:ascii="Times New Roman" w:hAnsi="Times New Roman"/>
          <w:b/>
          <w:color w:val="000000"/>
          <w:sz w:val="20"/>
        </w:rPr>
        <w:t xml:space="preserve">ACCRUED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at June 30, 2026 and December 31, 2025 were: </w:t>
      </w:r>
    </w:p>
    <w:p>
      <w:pPr>
        <w:pStyle w:val="TextBody"/>
        <w:bidi w:val="0"/>
        <w:jc w:val="left"/>
        <w:rPr/>
      </w:pPr>
      <w:r>
        <w:rPr/>
        <w:t> </w:t>
      </w:r>
    </w:p>
    <w:tbl>
      <w:tblPr>
        <w:tblW w:w="6649" w:type="dxa"/>
        <w:jc w:val="left"/>
        <w:tblInd w:w="0" w:type="dxa"/>
        <w:tblLayout w:type="fixed"/>
        <w:tblCellMar>
          <w:top w:w="28" w:type="dxa"/>
          <w:left w:w="28" w:type="dxa"/>
          <w:bottom w:w="28" w:type="dxa"/>
          <w:right w:w="28" w:type="dxa"/>
        </w:tblCellMar>
      </w:tblPr>
      <w:tblGrid>
        <w:gridCol w:w="3736"/>
        <w:gridCol w:w="146"/>
        <w:gridCol w:w="211"/>
        <w:gridCol w:w="931"/>
        <w:gridCol w:w="146"/>
        <w:gridCol w:w="146"/>
        <w:gridCol w:w="211"/>
        <w:gridCol w:w="931"/>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4,272,999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1,288,423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558,875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3,374,333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6,120,297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9.</w:t>
      </w:r>
    </w:p>
    <w:p>
      <w:pPr>
        <w:pStyle w:val="TextBody"/>
        <w:bidi w:val="0"/>
        <w:jc w:val="left"/>
        <w:rPr>
          <w:rFonts w:ascii="Times New Roman" w:hAnsi="Times New Roman"/>
          <w:b/>
          <w:color w:val="000000"/>
          <w:sz w:val="20"/>
        </w:rPr>
      </w:pPr>
      <w:r>
        <w:rPr>
          <w:rFonts w:ascii="Times New Roman" w:hAnsi="Times New Roman"/>
          <w:b/>
          <w:color w:val="000000"/>
          <w:sz w:val="20"/>
        </w:rPr>
        <w:t>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previously maintained a Loan and Security Agreement with Hercules Capital, Inc. (the Loan and Security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 2026, the Company repaid in full the outstanding $15.0 million principal balance outstanding under the Loan and Security Agreement, together with accrued interest and all other amounts due under the Loan and Security Agreement. Upon repayment, the Loan and Security Agreement terminated in accordance with its terms, and all security interests granted thereunder were released.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had no debt obligations Interest expense recognized during the three months ended June 30, 2026 reflects amounts incurred under the Loan and Security Agreement through the repayment date, April 1,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August 2024, the Company entered into an Open Market Sales Agreement </w:t>
      </w:r>
      <w:r>
        <w:rPr>
          <w:rFonts w:ascii="Times New Roman" w:hAnsi="Times New Roman"/>
          <w:color w:val="000000"/>
          <w:sz w:val="13"/>
        </w:rPr>
        <w:t>SM</w:t>
      </w:r>
      <w:r>
        <w:rPr>
          <w:rFonts w:ascii="Times New Roman" w:hAnsi="Times New Roman"/>
          <w:color w:val="000000"/>
          <w:sz w:val="20"/>
        </w:rPr>
        <w:t xml:space="preserve"> with Jefferies, as sales agent (the 2024 Jefferies Sales Agreement), under which the Company has the ability to offer and sell, from time to time through Jefferies, shares of common stock providing for aggregate sales proceeds of up to $75.0 million. As of June 30, 2026, no shares of common stock were sold under the 2024 Jefferies Sales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the Company has incurred losses since inception for tax purposes, no current or deferred tax provision expenses for federal and state income taxes have been recorded. Deferred income taxes reflect the net tax effects of temporary differences between the carrying amounts of assets and liabilities for financial reporting purposes and the amounts used for income tax purposes.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assessing the realizability of net deferred taxes in accordance with Accounting Standards Codification (ASC) 740, </w:t>
      </w:r>
      <w:r>
        <w:rPr>
          <w:rFonts w:ascii="Times New Roman" w:hAnsi="Times New Roman"/>
          <w:i/>
          <w:color w:val="000000"/>
          <w:sz w:val="20"/>
        </w:rPr>
        <w:t>Income Taxes</w:t>
      </w:r>
      <w:r>
        <w:rPr>
          <w:rFonts w:ascii="Times New Roman" w:hAnsi="Times New Roman"/>
          <w:color w:val="000000"/>
          <w:sz w:val="20"/>
        </w:rPr>
        <w:t xml:space="preserve"> (ASC 740), the Company considers the likelihood that some portion or all the deferred tax assets will not be realized. Based on the weight of available evidence, primarily the incurrence of net losses since inception, anticipated net losses in the near future, reversals of existing temporary differences, and expiration of various federal and state attributes, the Company does not believe that there is a reasonable likelihood that some or all of the net deferred taxes will be realized. Accordingly, a 100% valuation allowance has been applied against net 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Sections 382 and 383 of the Internal Revenue Code of 1986, as amended (Sections 382 and 383), a corporation that undergoes an “ownership change” is subject to limitations on the ability to utilize pre-change net operating losses (NOLs) and certain other tax assets (tax attributes) to offset future taxable income. In general, an ownership change occurs if the aggregate stock ownership of certain stockholders increases by more than 50 percentage points over such stockholders’ lowest percentage ownership during the testing period (generally three years). Transactions involving the Company’s common stock, within the testing period, even those outside the Company’s control, such as purchases or sales by investors, within the testing period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 in an ownership change. A limitation on the Company’s ability to utilize some or all NOLs or credits could have a material adverse effect on the Company’s results of operations and cash flows. Prior to December 31, 2021, the Company believes that four ownership changes have occurred. However, management believes that the aggregate Section 382 and 383 limitation (including the additional limitation for recognized “built-in-gains”) is sufficient so that no current impairment of pre-ownership change tax attributes is required. The Company does not believe an ownership change occurred from December 31, 2021 through June 30, 2026. Any future ownership changes, including those resulting from the Company’s future financing activities, may cause existing tax attributes to incur additional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is subject to tax in the U.S. (Federal and Massachusetts). The Company is open to examination for the tax years ended December 31, 2025, 2024, 2023, and 2022. In addition, any loss years remain open to the extent that losses are available for carryover to future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uncertain tax positions pursuant to ASC 740-10 which prescribes a recognition threshold and measurement process for financial statement recognition of uncertain tax positions taken or expected to be taken in a tax return. If the tax position meets the recognition threshold, the benefit to be recognized is measured as the tax benefit having the highest likelihood of being realized upon ultimate settlement with the taxing authority. Accordingly, in the provision for income taxes, the Company recognizes interest accrued related to unrecognized tax benefits and penalties; however, management is currently unaware of any uncertain tax positions. As a result, the Company does not have any liabilities recorded including interest or penalties for uncertain tax positions.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approved the 2013 Equity Incentive Plan in October 2013, which was amended in June 2016 and June 2018 (Amended 2013 Plan). The Amended 2013 Plan provided for the granting of stock options, restricted stock units (RSU), stock appreciation rights, and stock units to certain employees, members of the board of directors and consultants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the Company's Board of Directors approved the 2023 Equity Incentive Plan (the 2023 Equity Plan) to replace the Amended 2013 Plan. On June 30, 2023, the Company's stockholders approved the 2023 Equity Plan at the Company's 2023 annual meeting of stockholders. Pursuant to the 2023 Equity Plan, the Company cannot make any further grants under the Amended 2013 Plan, though awards previously granted under the Amended 2013 Plan still remain outstanding. The 2023 Equity Plan is effective for a period of ten years after June 30, 2023, and a total of 5,450,000 shares of the Company’s common stock, in addition to shares of the Company’s common stock that are subject to awards granted under the Amended 2013 Plan that are outstanding as of such date and that are subsequently forfeited, cancelled, or expire before being exercised or settled in full, are authorized for issuance under the 2023 Equity Plan. As of June 30, 2026, there were 2,047,160 shares of common stock available for grant under the 2023 Equity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2022, the Company granted performance cash settled bonus awards (CSBUs) under the Management Cash Incentive Plan, as amended (the Management Cash Incentive Plan). As the performance criteria had been met in February 2023, the awards, which are equal in value to the closing price per share of the Company's common stock on Nasdaq on the payment date, will vest in four annual installments from the date of grant based on continued service, and entitle employees to receive cash payments for each vested CSBU, on the earlier of (i) four years from the date of grant or (ii) a change of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2026, the Company granted additional CSBUs that are not subject to performance criteria and vest solely based on continued service over four years, with payment terms consistent with the 2022 awards. As of June 30, 2026, $1.5 million was accrued as compensation expense for CSBUs. Subsequent to June 30, 2026, the Company settled the outstanding liability associated with the 2022 CSBUs through cash payments of approximately $1.2 million in accordance with the terms of the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stock-based compensation expense over the requisite service period. The Company's share-based awards are accounted for as equity instruments, except for cash awards and CSBUs, which are accounted for as liabilities. The amounts included in the consolidated statements of operations relating to stock-based compensation associated with the two equity incentive plans, cash awards, and CSBUs are as follows:</w:t>
      </w:r>
    </w:p>
    <w:p>
      <w:pPr>
        <w:pStyle w:val="TextBody"/>
        <w:bidi w:val="0"/>
        <w:jc w:val="left"/>
        <w:rPr/>
      </w:pPr>
      <w:r>
        <w:rPr/>
        <w:t> </w:t>
      </w:r>
    </w:p>
    <w:tbl>
      <w:tblPr>
        <w:tblW w:w="8932" w:type="dxa"/>
        <w:jc w:val="left"/>
        <w:tblInd w:w="0" w:type="dxa"/>
        <w:tblLayout w:type="fixed"/>
        <w:tblCellMar>
          <w:top w:w="28" w:type="dxa"/>
          <w:left w:w="28" w:type="dxa"/>
          <w:bottom w:w="28" w:type="dxa"/>
          <w:right w:w="28" w:type="dxa"/>
        </w:tblCellMar>
      </w:tblPr>
      <w:tblGrid>
        <w:gridCol w:w="3451"/>
        <w:gridCol w:w="146"/>
        <w:gridCol w:w="211"/>
        <w:gridCol w:w="931"/>
        <w:gridCol w:w="146"/>
        <w:gridCol w:w="146"/>
        <w:gridCol w:w="211"/>
        <w:gridCol w:w="781"/>
        <w:gridCol w:w="146"/>
        <w:gridCol w:w="146"/>
        <w:gridCol w:w="211"/>
        <w:gridCol w:w="781"/>
        <w:gridCol w:w="146"/>
        <w:gridCol w:w="146"/>
        <w:gridCol w:w="211"/>
        <w:gridCol w:w="93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1,498,906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564,911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921,672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2,420,578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summarizes activity relating to stock options under the incentive plans for the six months ended June 30, 2026:</w:t>
      </w:r>
    </w:p>
    <w:p>
      <w:pPr>
        <w:pStyle w:val="TextBody"/>
        <w:bidi w:val="0"/>
        <w:jc w:val="left"/>
        <w:rPr/>
      </w:pPr>
      <w:r>
        <w:rPr/>
        <w:t> </w:t>
      </w:r>
    </w:p>
    <w:tbl>
      <w:tblPr>
        <w:tblW w:w="8769" w:type="dxa"/>
        <w:jc w:val="left"/>
        <w:tblInd w:w="0" w:type="dxa"/>
        <w:tblLayout w:type="fixed"/>
        <w:tblCellMar>
          <w:top w:w="28" w:type="dxa"/>
          <w:left w:w="28" w:type="dxa"/>
          <w:bottom w:w="28" w:type="dxa"/>
          <w:right w:w="28" w:type="dxa"/>
        </w:tblCellMar>
      </w:tblPr>
      <w:tblGrid>
        <w:gridCol w:w="2941"/>
        <w:gridCol w:w="146"/>
        <w:gridCol w:w="146"/>
        <w:gridCol w:w="991"/>
        <w:gridCol w:w="166"/>
        <w:gridCol w:w="146"/>
        <w:gridCol w:w="350"/>
        <w:gridCol w:w="775"/>
        <w:gridCol w:w="146"/>
        <w:gridCol w:w="146"/>
        <w:gridCol w:w="236"/>
        <w:gridCol w:w="755"/>
        <w:gridCol w:w="146"/>
        <w:gridCol w:w="146"/>
        <w:gridCol w:w="211"/>
        <w:gridCol w:w="93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Contractual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Value(a)</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8,582,483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6,607,251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975,876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5,562,758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sz w:val="24"/>
        </w:rPr>
      </w:pPr>
      <w:r>
        <w:rPr>
          <w:rFonts w:ascii="Times New Roman" w:hAnsi="Times New Roman"/>
          <w:color w:val="000000"/>
          <w:sz w:val="20"/>
        </w:rPr>
        <w:t>The aggregate intrinsic value in the above table was calculated on the positive difference, if any, between the closing price per share of the Company’s common stock on June 30, 2026 of $2.13</w:t>
      </w:r>
      <w:r>
        <w:rPr>
          <w:rFonts w:ascii="Times New Roman" w:hAnsi="Times New Roman"/>
          <w:color w:val="000000"/>
          <w:sz w:val="24"/>
        </w:rPr>
        <w:t xml:space="preserve"> </w:t>
      </w:r>
      <w:r>
        <w:rPr>
          <w:rFonts w:ascii="Times New Roman" w:hAnsi="Times New Roman"/>
          <w:color w:val="000000"/>
          <w:sz w:val="20"/>
        </w:rPr>
        <w:t>and the per share exercise price of the underlying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unamortized stock-based compensation for stock options outstanding was $7.9 million and is expected to be recognized over a weighted average period of 2.50 years. Total unrecognized compensation cost will be adjusted for future forfeitures, if necessary.</w:t>
      </w:r>
    </w:p>
    <w:p>
      <w:pPr>
        <w:pStyle w:val="TextBody"/>
        <w:bidi w:val="0"/>
        <w:spacing w:before="240" w:after="283"/>
        <w:jc w:val="left"/>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summarizes activity relating to restricted stock units (RSUs) for the six months ended June 30, 2026:</w:t>
      </w:r>
    </w:p>
    <w:p>
      <w:pPr>
        <w:pStyle w:val="TextBody"/>
        <w:bidi w:val="0"/>
        <w:jc w:val="left"/>
        <w:rPr/>
      </w:pPr>
      <w:r>
        <w:rPr/>
        <w:t> </w:t>
      </w:r>
    </w:p>
    <w:tbl>
      <w:tblPr>
        <w:tblW w:w="7957" w:type="dxa"/>
        <w:jc w:val="left"/>
        <w:tblInd w:w="0" w:type="dxa"/>
        <w:tblLayout w:type="fixed"/>
        <w:tblCellMar>
          <w:top w:w="28" w:type="dxa"/>
          <w:left w:w="28" w:type="dxa"/>
          <w:bottom w:w="28" w:type="dxa"/>
          <w:right w:w="28" w:type="dxa"/>
        </w:tblCellMar>
      </w:tblPr>
      <w:tblGrid>
        <w:gridCol w:w="2941"/>
        <w:gridCol w:w="146"/>
        <w:gridCol w:w="146"/>
        <w:gridCol w:w="841"/>
        <w:gridCol w:w="166"/>
        <w:gridCol w:w="146"/>
        <w:gridCol w:w="990"/>
        <w:gridCol w:w="2190"/>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 /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RSUs granted during the six months ended June 30, 2026. The total grant date fair value of RSUs vested was $0.8 million for the six months ended June 30, 2026. As of June 30, 2026, the outstanding RSUs had unamortized stock-based compensation of $0.2 million with a weighted-average remaining recognition period of 0.49 years and an aggregate intrinsic value of $0.2 million.</w:t>
      </w:r>
    </w:p>
    <w:p>
      <w:pPr>
        <w:pStyle w:val="TextBody"/>
        <w:bidi w:val="0"/>
        <w:spacing w:before="240" w:after="283"/>
        <w:jc w:val="left"/>
        <w:rPr>
          <w:rFonts w:ascii="Times New Roman" w:hAnsi="Times New Roman"/>
          <w:sz w:val="20"/>
        </w:rPr>
      </w:pPr>
      <w:r>
        <w:rPr>
          <w:rFonts w:ascii="Times New Roman" w:hAnsi="Times New Roman"/>
          <w:b/>
          <w:i/>
          <w:color w:val="000000"/>
          <w:sz w:val="20"/>
        </w:rPr>
        <w:t>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2026, the Company had 4,112,174 shares available for issuance under the 2016 Employee Stock Purchase Plan (2016 ESPP). A summary of the weighted-average grant-date fair value, and total stock-based compensation expense recognized related to the 2016 ESPP are as follows:</w:t>
      </w:r>
    </w:p>
    <w:p>
      <w:pPr>
        <w:pStyle w:val="TextBody"/>
        <w:bidi w:val="0"/>
        <w:jc w:val="left"/>
        <w:rPr/>
      </w:pPr>
      <w:r>
        <w:rPr/>
        <w:t> </w:t>
      </w:r>
    </w:p>
    <w:tbl>
      <w:tblPr>
        <w:tblW w:w="6310" w:type="dxa"/>
        <w:jc w:val="left"/>
        <w:tblInd w:w="0" w:type="dxa"/>
        <w:tblLayout w:type="fixed"/>
        <w:tblCellMar>
          <w:top w:w="28" w:type="dxa"/>
          <w:left w:w="28" w:type="dxa"/>
          <w:bottom w:w="28" w:type="dxa"/>
          <w:right w:w="28" w:type="dxa"/>
        </w:tblCellMar>
      </w:tblPr>
      <w:tblGrid>
        <w:gridCol w:w="4051"/>
        <w:gridCol w:w="251"/>
        <w:gridCol w:w="806"/>
        <w:gridCol w:w="174"/>
        <w:gridCol w:w="174"/>
        <w:gridCol w:w="251"/>
        <w:gridCol w:w="412"/>
        <w:gridCol w:w="191"/>
      </w:tblGrid>
      <w:tr>
        <w:trPr/>
        <w:tc>
          <w:tcPr>
            <w:tcW w:w="40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grant-date fair value per share</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13.</w:t>
      </w:r>
    </w:p>
    <w:p>
      <w:pPr>
        <w:pStyle w:val="TextBody"/>
        <w:bidi w:val="0"/>
        <w:jc w:val="left"/>
        <w:rPr>
          <w:rFonts w:ascii="Times New Roman" w:hAnsi="Times New Roman"/>
          <w:b/>
          <w:color w:val="000000"/>
          <w:sz w:val="20"/>
        </w:rPr>
      </w:pPr>
      <w:r>
        <w:rPr>
          <w:rFonts w:ascii="Times New Roman" w:hAnsi="Times New Roman"/>
          <w:b/>
          <w:color w:val="000000"/>
          <w:sz w:val="20"/>
        </w:rPr>
        <w:t>LEASES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currently leases office space to conduct business operations. Lease renewal options are regularly evaluated, and when the exercise of an option is reasonably certain, the Company includes the renewal period in the lease term. The lease does not specify an implicit rate. Based on information available at the lease commencement date, the Company uses the incremental borrowing rate to determine the present value of lease payments.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Company’s current office lease is scheduled to expire in December 2026. On July 28, 2026, the Company entered into a lease agreement for a new office location in Concord, Massachusetts to support its ongoing operations. The new lease will commence prior to the expiration of the current lease, and the Company is evaluating the accounting impact of the new lease arrangement in accordance with ASC Topic 842, </w:t>
      </w:r>
      <w:r>
        <w:rPr>
          <w:rFonts w:ascii="Times New Roman" w:hAnsi="Times New Roman"/>
          <w:i/>
          <w:color w:val="000000"/>
          <w:sz w:val="20"/>
        </w:rPr>
        <w:t>Leases</w:t>
      </w:r>
      <w:r>
        <w:rPr>
          <w:rFonts w:ascii="Times New Roman" w:hAnsi="Times New Roman"/>
          <w:color w:val="000000"/>
          <w:sz w:val="20"/>
        </w:rPr>
        <w:t xml:space="preserve"> (ASC 842).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Company maintained an unamortized Right-Of-Use asset with a corresponding operating lease liability of approximately $0.1 million based on the present value of the minimum rental payments in accordance with ASC 842. The weighted average discount rate used for leases as of June 30, 2026 is 9.1%. The weighted average remaining lease term as of June 30, 2026 was 0.50 years. The operating lease expense for the six months ended June 30, 2026 was $0.1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Maturities and balance sheet presentation of the Company’s lease liabilities for all operating leases as of June 30, 2026 is as follows:</w:t>
      </w:r>
    </w:p>
    <w:p>
      <w:pPr>
        <w:pStyle w:val="TextBody"/>
        <w:bidi w:val="0"/>
        <w:jc w:val="left"/>
        <w:rPr/>
      </w:pPr>
      <w:r>
        <w:rPr/>
        <w:t> </w:t>
      </w:r>
    </w:p>
    <w:tbl>
      <w:tblPr>
        <w:tblW w:w="4545" w:type="dxa"/>
        <w:jc w:val="left"/>
        <w:tblInd w:w="0" w:type="dxa"/>
        <w:tblLayout w:type="fixed"/>
        <w:tblCellMar>
          <w:top w:w="28" w:type="dxa"/>
          <w:left w:w="28" w:type="dxa"/>
          <w:bottom w:w="28" w:type="dxa"/>
          <w:right w:w="28" w:type="dxa"/>
        </w:tblCellMar>
      </w:tblPr>
      <w:tblGrid>
        <w:gridCol w:w="3196"/>
        <w:gridCol w:w="146"/>
        <w:gridCol w:w="211"/>
        <w:gridCol w:w="781"/>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effect of discounting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143,447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143,447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gross future minimum payments under all non-cancelable operating leases as of June 30, 2026, are: </w:t>
      </w:r>
    </w:p>
    <w:p>
      <w:pPr>
        <w:pStyle w:val="TextBody"/>
        <w:bidi w:val="0"/>
        <w:jc w:val="left"/>
        <w:rPr/>
      </w:pPr>
      <w:r>
        <w:rPr/>
        <w:t> </w:t>
      </w:r>
    </w:p>
    <w:tbl>
      <w:tblPr>
        <w:tblW w:w="7606" w:type="dxa"/>
        <w:jc w:val="left"/>
        <w:tblInd w:w="0" w:type="dxa"/>
        <w:tblLayout w:type="fixed"/>
        <w:tblCellMar>
          <w:top w:w="28" w:type="dxa"/>
          <w:left w:w="28" w:type="dxa"/>
          <w:bottom w:w="28" w:type="dxa"/>
          <w:right w:w="28" w:type="dxa"/>
        </w:tblCellMar>
      </w:tblPr>
      <w:tblGrid>
        <w:gridCol w:w="2446"/>
        <w:gridCol w:w="146"/>
        <w:gridCol w:w="211"/>
        <w:gridCol w:w="781"/>
        <w:gridCol w:w="146"/>
        <w:gridCol w:w="146"/>
        <w:gridCol w:w="211"/>
        <w:gridCol w:w="781"/>
        <w:gridCol w:w="146"/>
        <w:gridCol w:w="146"/>
        <w:gridCol w:w="211"/>
        <w:gridCol w:w="346"/>
        <w:gridCol w:w="146"/>
        <w:gridCol w:w="146"/>
        <w:gridCol w:w="211"/>
        <w:gridCol w:w="346"/>
        <w:gridCol w:w="146"/>
        <w:gridCol w:w="146"/>
        <w:gridCol w:w="211"/>
        <w:gridCol w:w="346"/>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14.</w:t>
      </w:r>
    </w:p>
    <w:p>
      <w:pPr>
        <w:pStyle w:val="TextBody"/>
        <w:bidi w:val="0"/>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permitted under Delaware law, the Company indemnifies its officers and directors for certain events or occurrences while the officer or director is, or was, serving at the Company’s request in such capacity. The term of the indemnification is for the officer’s or director’s lifetime. Through June 30, 2026, the Company had not incurred any material losses related to these indemnification obligations. Although claims for indemnification may arise in the ordinary course of business, the Company does not expect any such claims to have a material adverse effect on the consolidated financial statements. Accordingly, the Company concluded that the fair value of these obligations is negligible, and no related reserves have been established.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In-License Agreements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MEEI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assumed an Exclusive License Agreement with Massachusetts Eye and Ear Infirmary (MEEI), originally entered into in July 2016 between MEEI and Helio, as amended, (the MEEI Agreement), in connection with the 2019 acquisition of Helio. Pursuant to the MEEI Agreement, the Company obtained an exclusive worldwide license from MEEI to develop and commercialize ADX</w:t>
        <w:noBreakHyphen/>
        <w:t>2191 under certain patents, patent applications, and other licenses to intellectual property rights licensed by MEEI (the MEEI Patent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MEEI Agreement, the Company is obligated to pay annual license maintenance fees; certain development, regulatory, and commercial milestone payments upon the achievement of specified events; royalties on net sales of products incorporating the MEEI Patent Rights; and a portion of certain sublicense revenue. The MEEI Agreement remains in effect until the expiration of the last patent licensed under the MEEI Agreement, unless earlier terminated in accordance with the MEEI Agreement. Upon an early termination of the MEEI Agreement, the licensed rights and related intellectual property developed under the MEEI Agreement revert to MEEI.</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Company has other in-license agreements with third parties that require the Company to make future development, regulatory and commercial milestone payments, as well as royalty payments on net sales of specified products, if and when such milestones are achieved or sales occur. As of June 30, 2026, none of the related milestones had been achieved and no royalties were due. The amount and timing of any future payments are uncertain and depend on the successful development and commercialization of the related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30, 2026, a purported stockholder filed a putative class action lawsuit (the Securities Class Action) in the U.S. District Court for the District of Massachusetts, against us and certain current and former officers. The lawsuit alleges violations by the defendants of Sections 10(b) and 20(a) of the Securities Exchange Act of 1934 and SEC Rule 10b-5. The plaintiff alleges that the defendants made false or misleading statements or failed to disclose certain information concerning the new drug application (NDA) for and the prospects of reproxalap for the treatment of dry eye disease. The lawsuit seeks, among other things, compensatory damages on behalf of all persons and entities that purchased or otherwise acquired our securities between November 3, 2023, and March 16, 2026, as well as attorneys’ fees and costs. At this time, we cannot reasonably predict the outcome or estimate potential losses, if any, that could result from this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from time to time, the Company may become subject to litigation and claims arising in the ordinary course of business. The Company is not currently a party to any material legal proceedings that we expect to have any material adverse effect on our business, financial condition, or results of operation.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SIGNIFICANT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AbbVie Option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31, 2023 (the AbbVie Option Agreement Effective Date), the Company entered into an exclusive option agreement (the AbbVie Option Agreement) with AbbVie Inc. (AbbVie), pursuant to which the Company granted AbbVie an exclusive option (the AbbVie Option) to obtain (a) a co-exclusive license in the United States to facilitate a collaboration with the Company to develop, manufacture, and commercialize reproxalap in the United States, (b) an exclusive license to develop, manufacture, and commercialize reproxalap outside the United States, (c) a right of first negotiation for compounds that are owned or otherwise controlled by the Company in the field of ophthalmology relating to treating conditions of the ocular surface, and (d) a right to review data for any other compounds that are owned or otherwise controlled by the Company in the fields of ophthalmology and immunology before such data is shared with any other third party (the Collaboration Agreement). AbbVie paid the Company a non-refundable payment of $1.0 million in consideration of the AbbVie Option (the AbbVie Option Payment).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21, 2023, pursuant to the AbbVie Option Agreement, AbbVie extended the period during which it may exercise the AbbVie Option (the Exercise Period Extension) by paying the Company a non-refundable payment of $5.0 million (the AbbVie Option Extension Fee). If the Collaboration Agreement is entered into, the AbbVie Option Payment and the AbbVie Option Extension Fee will be credited against the upfront cash payment payable by AbbVie.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15, 2024, the Company entered into the Expansion Side Letter (the Expansion Letter) with AbbVie. The Expansion Letter makes certain changes to the AbbVie Option Agreement, among other things, providing that the Company will conduct certain launch activities, which costs shall not exceed mid-single-digit millions of dollars without AbbVie’s approval, and which costs will be considered allowable expenses pursuant to the Collaboration Agreement upon the delivery of AbbVie’s written notice of exercising the AbbVie Option and entry into the Collaboration Agreement, such that 60% of the Company's allowable expenses will be reimbursed by AbbVie in the event of exercise. If AbbVie does not deliver a written notice of exercising the AbbVie Option and the Company and AbbVie do not execute the Collaboration Agreement, the Company will remain solely responsible for such costs. AbbVie has also independently initiated pre-commercialization planning activities. In addition, the Exercise Period (as defined in the AbbVie Option Agreement) was restricted to ten (10) business days following approval from the U.S. Food and Drug Administration of the NDA for reproxalap in dry eye disease (the FDA Decision), provided that AbbVie shall provide the Company notice in case AbbVie determines that it will not exercise the AbbVie Option. The Company did not conduct any launch activities or incur related expenses during the six months ended June 30, 2026 and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AbbVie’s delivery of the agreement execution notice and the parties entering into the Collaboration Agreement, AbbVie would pay the Company a $100.0 million upfront cash payment, less the AbbVie Option Payment and the AbbVie Option Extension Fee. In addition, the Company would be eligible to receive up to approximately $300.0 million in regulatory and commercial milestone payments, inclusive of a $100.0 million milestone payment payable if the FDA Decision is received prior to or after the execution. In the United States, the Company would share profits and losses with AbbVie from the commercialization of reproxalap according to a split of 60% for AbbVie and 40% for the Company. Outside of the United States, the Company would be eligible to receive tiered royalties on net sales of reproxalap. As of August 6, 2026, AbbVie has not exercised the AbbVie Option.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recorded $6.0 million of deferred collaboration revenue related to the AbbVie Option Agreement and Exercise Period Extension, which was classified as a current liability as AbbVie may exercise the option at any time. Although the AbbVie Option Agreement was not considered to be a vendor-customer relationship, the Company used ASC 606 to conclude that the $6.0 million liability would be considered the transaction price (the Transaction Price) and all other amounts due to the Company under the Collaboration Agreement would be excluded from the Transaction Price, since such amounts relate to fees that can only be achieved subsequent to the exercise of the AbbVie Option. Because the AbbVie Option Extension Fee and the AbbVie Option Payment are creditable against the Collaboration Agreement payments due to the Company, the Transaction Price was allocated to a single unit of account and was considered the option to enter into a future collaboration agreement which is considered a material right. The Company concluded that all other performance obligations were immaterial promises in the context of the AbbVie Option Agreement and did not represent additional units of account. The Company will begin to recognize revenue if the AbbVie Option is exercised or when the AbbVie Option expires.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through a single operating and reportable segment focused on the discovery and development of innovative therapies designed to treat immune-mediated diseases. The segment's approach is to develop pharmaceuticals that modulate protein systems, instead of directly inhibiting or activating single protein targets, with the goal of optimizing multiple pathways at once while minimizing toxicity. The Company's product candidates include RASP (reactive aldehyde species) modulators ADX</w:t>
        <w:noBreakHyphen/>
        <w:t>248, ADX</w:t>
        <w:noBreakHyphen/>
        <w:t>246, and chemically related molecules for the potential treatment of systemic and retinal immune-mediated diseases. The Company's late-stage product candidates are reproxalap, a RASP modulator for the potential treatment of dry eye disease and allergic conjunctivitis, and ADX</w:t>
        <w:noBreakHyphen/>
        <w:t>2191, a novel formulation of intravitreal methotrexate for the potential treatment of primary vitreoretinal lymphoma and retinitis pigmentosa. The Company's tangible assets are held in the United States. The Company manages all business activities on a consolidated basis. The Company's Chief Operating Decision Maker (CODM) is the Chief Executive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accounting policies of the operating segment are the same as those described in Note 2, Summary of Significant Accounting Policies contained within the notes included in the Annual Report on Form 10-K for the year ended December 31, 2025. The CODM evaluates the performance of the operating segment and allocates resources based on net income (loss) that also is reported on the consolidated income statement as net loss. The measure of the operating segment assets is reported on the consolidated balance sheet as total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uses net income (loss) to monitor budget versus actual results and to analyze cash flows in assessing performance of the segment and allocating resources. The significant expenses are presented on the Company’s Consolidated Statements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statements throughout this report are “forward-looking statements” within the meaning of the Private Securities Litigation Reform Act of 1995. Forward-looking statements involve substantial risks and uncertainties. All statements, other than statements of historical facts, included in this report regarding our strategy, future operations, future financial position, future revenue, projected costs, prospects, plans and objectives of management are forward-looking statements. Forward-looking statements are subject to risks and uncertainties and are based on information currently available to our management. Words such as, but not limited to, “anticipate,” “believe,” “estimate,” “expect,” “intend,” “may,” “plan,” “contemplates,” “predict,” “project,” “target,” “likely,” “potential,” “continue,” “ongoing,” “design,” “might,” “objective,” “will,” “would,” “should,” “could,” or the negative of these terms and similar expressions or words, identify forward-looking statements. Forward-looking statements reflect our current views with respect to future events and are based on assumptions and subject to risks and uncertainties. Given associated risk and uncertainties, you should not place undue reliance on our forward-looking statements. The events and circumstances reflected in our forward-looking statements may not occur and actual results could differ materially from those projected in our forward-looking statements. Meaningful factors that could cause actual results to differ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to develop and commercialize reproxalap, and any other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in or failure to obtain regulatory approval of reproxalap or any of our other product candidates, including as a result of the U.S. Food and Drug Administration (FDA) not accepting our regulatory filings or requiring additional clinical trials or data prior to review or approval of such filings;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likelihood and timing of a potential resubmission of a new drug application (NDA) for reproxalap (the Reproxalap NDA);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likelihood and timing of the FDA's potential acceptance and approval of the Reproxalap NDA;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adequacy of the data included in potential resubmission of the Reproxalap NDA or supplemental responses to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likelihood and timing of the exercise of the exclusive option (the AbbVie Option) by AbbVie Inc. (AbbVie) pursuant to the exclusive option agreement with AbbVie;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maintain regulatory approval of reproxalap or any of our other product candidates, if received, and the labeling for any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as to our ability to commercialize (alone or with others) and obtain reimbursement for reproxalap or any of our other product candidates following regulatory approval,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of the potential markets and pricing for reproxalap or any of our other product candidates following regulatory approval, if any, and the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of any of reproxalap or any of our other product candidates following regulatory approval,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enrollment, commencement, and completion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success of preclinical studies and clinical trials conducted by us and our development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prior results, such as signals of safety, activity, or durability of effect, observed from preclinical or clinical trials will not be replicated or will not continue in ongoing or future studies or trials involving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expansion, and costs of developing and commercializing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expenses and future revenue, the timing of future revenue, the sufficiency or use of our cash resources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competition;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growth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or retain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commercialization, marketing, and manufacturing capabilities and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development and commercialization partnerships;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integrate acquisitions into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federal, state, and foreign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political, economic, legal, social and health risks, public health measures, and war or other military actions, that may affect our business, results of operations, and financial position, or the global economy;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intellectual property protection for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anticipated trends and challenges in our business and the market in which we operate.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written and verbal forward-looking statements attributable to us or any person acting on our behalf are expressly qualified by the cautionary statements contained or referred to in this section. We caution investors not to rely on the forward-looking statements we make or that are made on our behalf. We undertake no obligation, and specifically decline any obligation, to update or revise publicly any forward-looking statements, whether as a result of new information, future events, or otherwise. You are advised, however, to consult any further disclosures we make on related subjects in any annual, quarterly, or current reports that we may file with the Securities and Exchange Commission (SEC).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encourage you to read “Management’s Discussion and Analysis of Financial Condition and Results of Operations” and “Risk Factors,” as well as our unaudited condensed consolidated financial statements contained in this Quarterly Report on Form 10</w:t>
        <w:noBreakHyphen/>
        <w:t>Q. We also encourage you to read our Annual Report on Form 10-K for the year ended December 31, 2025, which was filed with the SEC on February 27, 2026 (2025 Annual Report), and which contains a more complete discussion of the risks and uncertainties associated with our business. In addition to the risks described above and in our 2025 Annual Report, other unknown or unpredictable factors also could affect our results. Therefore, the information in this Quarterly Report on Form 10</w:t>
        <w:noBreakHyphen/>
        <w:t>Q should be read together with other reports and documents that we file with the SEC from time to time, including Forms 10-Q, 8-K, and 10-K, which may supplement, modify, supersede, or update those risk factors. There can be no assurance that the actual results or developments anticipated by us will be realized or, even if substantially realized, that our results will materialize as expected. Therefore, no assurance can be given that the outcomes stated in such forward-looking statements and estimates will be achieved.</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Aldeyra Therapeutics, Inc., including our wholly owned subsidiaries (we, us, or the Company), is a biotechnology company devoted to discovering innovative therapies designed to treat immune-mediated diseases. Our approach is to develop pharmaceuticals that modulate protein systems, instead of directly inhibiting or activating single protein targets, with the goal of optimizing multiple pathways at once while minimizing toxicity. Our product candidates include RASP (reactive aldehyde species) modulators ADX-248, ADX-246, and chemically related molecules for the potential treatment of systemic and retinal immune-mediated diseases. Our late-stage product candidates are reproxalap, a RASP modulator for the potential treatment of dry eye disease and allergic conjunctivitis, and ADX-2191, a novel formulation of intravitreal methotrexate for the potential treatment of primary vitreoretinal lymphoma and retinitis pigmentosa. Our development pipeline, as of the date of filing of this Quarterly Report on Form 10-Q is illustrated below.</w:t>
      </w:r>
    </w:p>
    <w:p>
      <w:pPr>
        <w:pStyle w:val="TextBody"/>
        <w:bidi w:val="0"/>
        <w:jc w:val="left"/>
        <w:rPr/>
      </w:pPr>
      <w:r>
        <w:rPr/>
        <w:t> </w:t>
      </w:r>
    </w:p>
    <w:p>
      <w:pPr>
        <w:pStyle w:val="TextBody"/>
        <w:bidi w:val="0"/>
        <w:jc w:val="center"/>
        <w:rPr/>
      </w:pPr>
      <w:r>
        <w:rPr/>
        <w:drawing>
          <wp:inline distT="0" distB="0" distL="0" distR="0">
            <wp:extent cx="6858000" cy="2581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2581275"/>
                    </a:xfrm>
                    <a:prstGeom prst="rect">
                      <a:avLst/>
                    </a:prstGeom>
                  </pic:spPr>
                </pic:pic>
              </a:graphicData>
            </a:graphic>
          </wp:inline>
        </w:drawing>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October 31, 2023 (the AbbVie Option Agreement Effective Date), we entered into an exclusive option agreement (the AbbVie Option Agreement) with AbbVie Inc. (AbbVie), pursuant to which we granted AbbVie an exclusive option (the AbbVie Option)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obtain (a) a co-exclusive license in the United States to facilitate a collaboration with us to develop, manufacture and commercialize reproxalap in the United States, (b) an exclusive license to develop, manufacture, and commercialize reproxalap outside the United States, (c) a right of first negotiation for compounds that are owned or otherwise controlled by us in the field of ophthalmology relating to treating conditions of the ocular surface, and (d) a right to review data for any other compounds that are owned or otherwise controlled by us in the fields of ophthalmology and immunology before such data is shared with any other third party (the Collaboration Agreement). AbbVie has paid us a non-refundable payment of $1.0 million in consideration of the AbbVie Option (the AbbVie Option Payment).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21, 2023, pursuant to the AbbVie Option Agreement, AbbVie extended the period during which it may exercise the AbbVie Option by paying us a non-refundable payment of $5.0 million (the AbbVie Option Extension Fee). If the Collaboration Agreement is entered into, the AbbVie Option Payment and the AbbVie Option Extension Fee will be credited against the upfront cash payment payable by AbbVie.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15, 2024, we entered into the Expansion Side Letter (the Expansion Letter) with AbbVie. The Expansion Letter makes certain changes to the AbbVie Option Agreement, among other things, providing that we will conduct certain launch activities, which costs shall not exceed mid-single-digit millions of dollars without AbbVie’s approval, and which costs will be considered allowable expenses pursuant to the Collaboration Agreement upon the delivery of AbbVie’s written notice of exercising the AbbVie Option and entry into the Collaboration Agreement, such that 60% of our allowable expenses will be reimbursed by AbbVie in the event of exercise. If AbbVie does not deliver a written notice of exercising the AbbVie Option and we do not execute the Collaboration Agreement, we will remain solely responsible for such costs. AbbVie has also independently initiated pre-commercialization planning activities. In addition, the Exercise Period (as defined in the AbbVie Option Agreement) was restricted to ten (10) business days following the date, if any, that we receive approval from the U.S. Food and Drug Administration of the NDA for reproxalap in dry eye disease (the FDA Decision), provided that AbbVie shall provide us notice in case AbbVie determines that it will not exercise the AbbVie 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AbbVie’s delivery of the agreement execution notice and the parties entering into the Collaboration Agreement, AbbVie would pay us a $100.0 million upfront cash payment, less the AbbVie Option Payment and the AbbVie Option Extension Fee. In addition, we would be eligible to receive up to approximately $300.0 million in regulatory and commercial milestone payments, inclusive of a $100.0 million milestone payment payable if the FDA Decision is received prior to or after the execution of the Collaboration Agreement. In the United States, we would share profits and losses with AbbVie from the commercialization of reproxalap according to a split of 60% for AbbVie and 40% for us. Outside of the United States, we would be eligible to receive tiered royalties on net sales of reproxalap. As of August 6, 2026, AbbVie has not exercised the AbbVie 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development plans and timelines are subject to adjustment depending on recruitment rate, regulatory review, preclinical and clinical results, funding, and other factors that could delay the initiation, completion, or reporting of clinical trials. Regulatory review timelines are flexible and subject to change based on the regulator’s workload and other potential review issues. The timing of ongoing clinical trials depends, in part, on the availability of clinical research facilities and staffing, and the ability to recruit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continue to execute on our strategy of expanding our product candidate pipeline, we may license or acquire new immune-modulating assets with novel therapeutic potential.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products approved for sale in the United States or elsewhere. We will not receive any revenue from sales of our product candidates that we develop until we obtain regulatory approval. We intend to commercialize our products, if approved for sale, directly or through collaborations. Although we may receive commercial and license revenue in the future, we have to date primarily funded our operations through the sale of our common stock, convertible preferred stock, convertible promissory notes, warrants, and borrowings under debt facilities. We will need to raise additional capital in the form of debt or equity or through partnerships to fund additional development of our product candidates, and we may in-license, acquire, or invest in complementary businesses or products. In addition, contingent on capital resources, we may augment, diminish, or otherwise modify the clinical development plan described herein.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August 2024, we entered into an Open Market Sales Agreement </w:t>
      </w:r>
      <w:r>
        <w:rPr>
          <w:rFonts w:ascii="Times New Roman" w:hAnsi="Times New Roman"/>
          <w:color w:val="000000"/>
          <w:sz w:val="13"/>
        </w:rPr>
        <w:t>SM</w:t>
      </w:r>
      <w:r>
        <w:rPr>
          <w:rFonts w:ascii="Times New Roman" w:hAnsi="Times New Roman"/>
          <w:color w:val="000000"/>
          <w:sz w:val="20"/>
        </w:rPr>
        <w:t xml:space="preserve"> with Jefferies, as sales agent (the 2024 Jefferies Sales Agreement), under which we have the ability to offer and sell, from time to time through Jefferies, shares of common stock providing for aggregate sales proceeds of up to $75.0 million. As of June 30, 2026, no shares of common stock were sold under the 2024 Jefferies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 2026, we repaid in full the outstanding $15.0 million principal balance under our Loan and Security Agreement with Hercules Capital, Inc., together with accrued interest and all other amounts due thereunder. Upon repayment, the Loan and Security Agreement terminated in accordance with its terms. As of June 30, 2026, we had no debt obligations.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expense all of our research and development expenses as they are incurred. Research and development costs that are paid in advance of performance are capitalized as a prepaid expense until incurred. Research and development expenses primarily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non-clinical development, preclinical research, and clinical trial and regulatory-related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sites and consultants that conduct our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expenses, including salaries, benefits, travel, and stock-based compensation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substantially all our research and development expenses have been incurred in connection with reproxalap and ADX</w:t>
        <w:noBreakHyphen/>
        <w:t>2191, as well as the proof of concept trials with ADX</w:t>
        <w:noBreakHyphen/>
        <w:t>629, which was a signal-finding molecule no longer under development. We expect our research and development expenses to increase for the foreseeable future as we advance ADX</w:t>
        <w:noBreakHyphen/>
        <w:t>248, ADX</w:t>
        <w:noBreakHyphen/>
        <w:t>246, and other compounds through preclinical and clinical development. The process of conducting clinical trials necessary to obtain regulatory approval is costly and time consuming. We are unable to estimate with any certainty the costs we will incur in the continued development of our product candidates. Clinical development timelines, the probability of success, and development costs can differ materially from expectations. We may never succeed in achieving marketing approval for our product candidates. The costs of clinical trials may vary significantly over the life of a project owing to, but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patient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sites included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countries in which the trials are conducted;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of, or other effects on, clinical trials resulting from public health measures, and war or other military actions, or for other reasons;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length of time required to enroll eligible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drug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that participate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doses that patients receive;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assay development, assays, or other assessment of clinical trial endpoints;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vehicle or active comparative agents used in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drop-out or discontinuation rates of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additional safety monitoring or other studies or clinical trials requested by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duration of patient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of development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profile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Included in research and development are expenses associated with asset acquisitions. Assets purchased in an asset acquisition transaction are expensed as in-process research and development unless the assets acquired are deemed to have an alternative future use. Acquired in-process research and development payments are immediately expensed, and include upfront payments, as well as transaction fees and subsequent milestone payments. Development costs incurred after the asset acquisition are expensed as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expect reproxalap or any of our other product candidates to be commercially available, if at all, before further discussions with the FDA.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and 2025, our general and administrative expenses consisted primarily of employee-related expenses, including benefits and stock-based compensation for our full-time employees. Other general and administrative expenses include insurance premiums, consulting, and professional fees for auditing, tax, investor relations, and legal services, including patent-related costs. We expect that general and administrative expenses will increase in the future as we expand our operating activities, continue to incur additional costs associated with being a publicly traded company, and maintain compliance with exchange listing and SEC requirements. The general and administrative expense increases will likely include higher consulting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fees for commercializing our product candidates, legal fees, accounting fees, insurance premiums, and fees associated with investor relations.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(expense) consists primarily of interest income earned on our interest-bearing accounts and interest expense incurred on our outstanding debt.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is defined as the change in equity from transactions and other events from non-owner sources. For the six months ended June 30, 2026, comprehensive loss is equal to our net loss of $8.9 million. For the six months ended June 30, 2025, comprehensive loss is equal to our net loss of $19.7 million inclusive of an immaterial amount of unrealized loss on marketable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our financial statements requires us to make estimates and assumptions that affect the reported amounts of assets and liabilities and the disclosure of contingent assets and liabilities at the date of our financial statements, as well as the reported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Our significant accounting policies are more fully described in the notes to our unaudited condensed consolidated financial statements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material changes to our critical accounting estimates during the six months ended June 30, 2026, as compared to those described in Management’s Discussion and Analysis of Financial Condition and Results of Operations included in our 2025 Annual Report. It is important that the discussion of our operating results that follow be read in conjunction with the critical accounting policies disclosed in our 2025 Annual Report.</w:t>
      </w:r>
    </w:p>
    <w:p>
      <w:pPr>
        <w:pStyle w:val="TextBody"/>
        <w:bidi w:val="0"/>
        <w:spacing w:before="12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our results of operations will fluctuate for the foreseeable future due to several factors, including the progress of our research and development efforts, the timing and outcome of clinical trials, the timing and outcome of regulatory submissions, regulatory requirements, and the exercise, if any, of the AbbVie Option, including any related commercialization costs. Our limited operating history makes predictions of future operations difficult or impossible. Since our inception, we have incurred significant losses.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Three months ended June 30, 2026 compared to three months ended June 30, 2025</w:t>
      </w:r>
    </w:p>
    <w:p>
      <w:pPr>
        <w:pStyle w:val="TextBody"/>
        <w:bidi w:val="0"/>
        <w:jc w:val="left"/>
        <w:rPr/>
      </w:pPr>
      <w:r>
        <w:rPr/>
        <w:t> </w:t>
      </w:r>
    </w:p>
    <w:tbl>
      <w:tblPr>
        <w:tblW w:w="8884" w:type="dxa"/>
        <w:jc w:val="left"/>
        <w:tblInd w:w="0" w:type="dxa"/>
        <w:tblLayout w:type="fixed"/>
        <w:tblCellMar>
          <w:top w:w="28" w:type="dxa"/>
          <w:left w:w="28" w:type="dxa"/>
          <w:bottom w:w="28" w:type="dxa"/>
          <w:right w:w="28" w:type="dxa"/>
        </w:tblCellMar>
      </w:tblPr>
      <w:tblGrid>
        <w:gridCol w:w="2511"/>
        <w:gridCol w:w="146"/>
        <w:gridCol w:w="213"/>
        <w:gridCol w:w="1001"/>
        <w:gridCol w:w="167"/>
        <w:gridCol w:w="147"/>
        <w:gridCol w:w="213"/>
        <w:gridCol w:w="1107"/>
        <w:gridCol w:w="166"/>
        <w:gridCol w:w="146"/>
        <w:gridCol w:w="211"/>
        <w:gridCol w:w="991"/>
        <w:gridCol w:w="166"/>
        <w:gridCol w:w="146"/>
        <w:gridCol w:w="146"/>
        <w:gridCol w:w="631"/>
        <w:gridCol w:w="776"/>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3,484,514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8,505,229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2,365,993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(5,850,507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(10,168,732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400,257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400,234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(5,450,273</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(9,767,312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Research and development expenses were $3.5 million for the three months ended June 30, 2026, compared to $8.5 million for the three months ended June 30, 2025. The decrease of $5.0 million was primarily related to a decrease of $3.8 million in external clinical development costs and $1.6 million in drug product manufacturing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three months ended June 30, 2026, approximately 20% of the total research and development expenses related to the advancement of late-stage product candidates. The late-stage product candidate spend during the three months ended June 30, 2026 was primarily attributable to reproxalap. We do not track labor associated with each program and have allocated headcount costs on a pro-rated basis. Management believes the pro rata allocation is a reasonable estimate of the headcount costs associated with each of the programs noted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General and administrative expenses. </w:t>
      </w:r>
      <w:r>
        <w:rPr>
          <w:rFonts w:ascii="Times New Roman" w:hAnsi="Times New Roman"/>
          <w:color w:val="000000"/>
          <w:sz w:val="20"/>
        </w:rPr>
        <w:t>General and administrative expenses were $2.4 million for the three months ended June 30, 2026, compared to $1.7 million for the three months ended June 30, 2025. The increase of $0.7 million was primarily related to an increase of $0.4 million in personnel costs and $0.3 million in legal costs.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Other income (expense). </w:t>
      </w:r>
      <w:r>
        <w:rPr>
          <w:rFonts w:ascii="Times New Roman" w:hAnsi="Times New Roman"/>
          <w:color w:val="000000"/>
          <w:sz w:val="20"/>
        </w:rPr>
        <w:t>Total other income (expense), net, was $0.4 million for each of the three months ended June 30, 2026 and 2025. Net other income primarily related to lower interest income resulting from decreased investment balances, substantially offset by lower interest expense following the repayment of the Loan and Security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Six months ended June 30, 2026 compared to six months ended June 30, 2025</w:t>
      </w:r>
    </w:p>
    <w:p>
      <w:pPr>
        <w:pStyle w:val="TextBody"/>
        <w:bidi w:val="0"/>
        <w:spacing w:before="240" w:after="283"/>
        <w:jc w:val="left"/>
        <w:rPr/>
      </w:pPr>
      <w:r>
        <w:rPr/>
        <w:t> </w:t>
      </w:r>
    </w:p>
    <w:tbl>
      <w:tblPr>
        <w:tblW w:w="8857" w:type="dxa"/>
        <w:jc w:val="left"/>
        <w:tblInd w:w="0" w:type="dxa"/>
        <w:tblLayout w:type="fixed"/>
        <w:tblCellMar>
          <w:top w:w="28" w:type="dxa"/>
          <w:left w:w="28" w:type="dxa"/>
          <w:bottom w:w="28" w:type="dxa"/>
          <w:right w:w="28" w:type="dxa"/>
        </w:tblCellMar>
      </w:tblPr>
      <w:tblGrid>
        <w:gridCol w:w="2511"/>
        <w:gridCol w:w="146"/>
        <w:gridCol w:w="211"/>
        <w:gridCol w:w="991"/>
        <w:gridCol w:w="166"/>
        <w:gridCol w:w="146"/>
        <w:gridCol w:w="211"/>
        <w:gridCol w:w="1096"/>
        <w:gridCol w:w="166"/>
        <w:gridCol w:w="146"/>
        <w:gridCol w:w="211"/>
        <w:gridCol w:w="1096"/>
        <w:gridCol w:w="166"/>
        <w:gridCol w:w="146"/>
        <w:gridCol w:w="146"/>
        <w:gridCol w:w="526"/>
        <w:gridCol w:w="776"/>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5,894,089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15,928,552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(10,034,463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4,667,639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(20,596,191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11,198,766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(8,902,892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(19,696,813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10,793,921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Research and development expenses were $5.9 million for the six months ended June 30, 2026, compared to $15.9 million for the six months ended June 30, 2025. The decrease of approximately $10.0 million was primarily related to a decrease of $5.4 million in external clinical development costs, $3.1 million in drug product manufacturing costs, $1.2 million in personnel costs, $0.2 million in preclinical expenditures, and $0.1 million in consulting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approximately 15% of the total research and development expenses was related to the advancement of late-stage product candidates. The late-stage product candidate expense during the six months ended June 30, 2026 was primarily attributable to reproxalap. We do not track labor associated with each program and have allocated headcount costs on a pro-rated basis. Management believes the pro rata allocation results is a reasonable estimate of the headcount costs associated with each of the programs noted above.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General and administrative expenses. </w:t>
      </w:r>
      <w:r>
        <w:rPr>
          <w:rFonts w:ascii="Times New Roman" w:hAnsi="Times New Roman"/>
          <w:color w:val="000000"/>
          <w:sz w:val="20"/>
        </w:rPr>
        <w:t>General and administrative expenses were $3.5 million for the six months ended June 30, 2026, compared to $4.7 million for the six months ended June 30, 2025. The decrease of approximately $1.2 million was primarily related to a decrease of $1.2 million in personnel costs.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income (expense). </w:t>
      </w:r>
      <w:r>
        <w:rPr>
          <w:rFonts w:ascii="Times New Roman" w:hAnsi="Times New Roman"/>
          <w:color w:val="000000"/>
          <w:sz w:val="20"/>
        </w:rPr>
        <w:t>Total other income (expense), net, was $0.5 million and $0.9 million for the six months ended June 30, 2026 and 2025, respectively. The decrease in net other income of $0.4 million was principally due a decrease in interest income as a result of a decrease in investments, substantially offset by lower interest expense following the repayment of the Loan and Security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primarily from the sale of equity securities and convertible equity securities, as well as borrowings under credit facilities. Since inception, we have incurred operating losses and negative cash flows from operating activities and have devoted substantially all our efforts to research and development. At June 30, 2026, we had total stockholders’ equity of approximately $37.9 million, and cash and cash equivalents of $45.1 million. During the six months ended June 30, 2026, we had a net loss of approximately $8.9 million. We expect to generate operating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2024, we entered into the 2024 Jefferies Sales Agreement, as sales agent, under which we have the ability to offer and sell, from time to time through Jefferies, shares of common stock providing for aggregate sales proceeds of up to $75.0 million. As of June 30, 2026, no shares of common stock were sold under the 2024 Jefferies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 2026, we repaid in full the outstanding $15.0 million principal balance under our Loan and Security Agreement with Hercules Capital, Inc., together with accrued interest and all other amounts due thereunder. Upon repayment, the Loan and Security Agreement terminated in accordance with its terms. As of June 30, 2026, we had no debt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31, 2023 (the AbbVie Option Agreement Effective Date), we entered into an exclusive option agreement (the AbbVie Option Agreement) with AbbVie Inc. (AbbVie), pursuant to which we granted AbbVie an exclusive option (the AbbVie Option)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 a co-exclusive license in the United States to facilitate a collaboration with us to develop, manufacture and commercialize reproxalap in the United States, (b) an exclusive license to develop, manufacture, and commercialize reproxalap outside the United States, (c) a right of first negotiation for compounds that are owned or otherwise controlled by us in the field of ophthalmology relating to treating conditions of the ocular surface, and (d) a right to review data for any other compounds that are owned or otherwise controlled by us in the fields of ophthalmology and immunology before such data is shared with any other third party (the Collaboration Agreement). AbbVie has paid us a non-refundable payment of $1.0 million in consideration of the AbbVie Option (the AbbVie Option Payment).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21, 2023, pursuant to the AbbVie Option Agreement, AbbVie extended the period during which it may exercise the AbbVie Option by paying us a non-refundable payment of $5.0 million (the AbbVie Option Extension Fee). If the Collaboration Agreement is entered into, the AbbVie Option Payment and the AbbVie Option Extension Fee will be credited against the upfront cash payment payable by AbbVie.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15, 2024, we entered into the Expansion Side Letter (the Expansion Letter) with AbbVie. The Expansion Letter makes certain changes to the AbbVie Option Agreement, among other things, providing that we will conduct certain launch activities, which costs shall not exceed mid-single-digit millions of dollars without AbbVie’s approval, and which costs will be considered allowable expenses pursuant to the Collaboration Agreement upon the delivery of AbbVie’s written notice of exercising the AbbVie Option and entry into the Collaboration Agreement, such that 60% of our allowable expenses will be reimbursed by AbbVie in the event of exercise. If AbbVie does not deliver a written notice of exercising the AbbVie Option and we do not execute the Collaboration Agreement, we will remain solely responsible for such costs. AbbVie has also independently initiated pre-commercialization planning activities. In addition, the Exercise Period (as defined in the AbbVie Option Agreement) was restricted to ten (10) business days following the date, if any, that we receive approval from the U.S. Food and Drug Administration of the NDA for reproxalap in dry eye disease (the FDA Decision), provided that AbbVie shall provide us notice in case AbbVie determines that it will not exercise the AbbVie 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AbbVie’s delivery of the agreement execution notice and the parties entering into the Collaboration Agreement, AbbVie would pay us a $100.0 million upfront cash payment, less the AbbVie Option Payment and the AbbVie Option Extension Fee. In addition, we would be eligible to receive up to approximately $300.0 million in regulatory, and commercial milestone payments, inclusive of a $100.0 million milestone payment payable if the FDA Decision is received prior to or after the execution of the Collaboration Agreement. In the United States, we would share profits and losses with AbbVie from the commercialization of reproxalap according to a split of 60% for AbbVie and 40% for us. Outside of the United States, we would be eligible to receive tiered royalties on net sales of reproxalap. As of August 6, 2026, AbbVie has not exercised the AbbVie 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current operating plan, and excluding any potential licensing and product revenue, we believe that our cash and cash equivalents as of June 30, 2026, will be sufficient to fund our currently projected operating expenses into the second half 2028, including continued early and late-stage development of our product candidates in ocular and systemic immune-mediated diseases. We base our projections of operating capital requirements on our current operating plan, which includes assumptions that may prove to be incorrect, and we may use all of our available capital resources sooner than we expect. Because of the numerous risks and uncertainties associated with research, development, regulatory requirements, and commercialization (as applicable) of product candidates, we are unable to estimate the exact amount of our working capital requirements. We will need to secure additional funding in the future, from one or more equity or debt financings, collaborations, or other sources, in order to carry out all of our planned research, development activities, and regulatory activities; commence or continue ongoing commercialization, including manufacturing, sales, marketing and distribution for our product candidates; or fulfill additional development requirements requested by the FDA. At this time, due to the risks inherent in the drug development process, we are unable to estimate with any certainty the costs we will incur in the continued clinical development and regulatory requirements of reproxalap, and our other product candidates. Subsequent trials or regulatory activities initiated at a later date will cost considerably more, depending on the results of our prior clinical trials, and feedback from the FDA or other third parties. Accordingly, we will continue to require substantial additional capital to continue our clinical development, regulatory, and potential commercialization activities. The amount and timing of our future funding requirements will depend on many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submission, procedures, and protocols, and review of reproxalap, including any additional trials the FDA or other regulatory agencies may require for approval or label expansion;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costs, and results of any clinical activities for regulatory review of reproxalap outside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exercise, if any, of the AbbVie Option;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process development and manufacturing scale</w:t>
        <w:noBreakHyphen/>
        <w:t>up activities associated with reproxalap;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commercialization activities for reproxalap, if we receive marketing approval, and pre commercialization costs for reproxalap incurred prior to receiving marketing approval, including the costs and timing of establishing product sales, marketing, distribution and outsourced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assuming receipt of marketing approval, the amount of revenue received from commercial sales of reproxalap or any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establishing collaborations, license agreements, and other partnerships on terms favorable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type, number, scope, progress, expansion costs, results, and timing of our clinical trials of any product candidates that we are pursuing or may choose to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any other product candidates that we may develop, in-license, or acquire, including potential milestone or royalty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in defending ourselves in any legal proceedings;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obtaining, maintaining, and enforcing our patents and other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need or desire to obtain additional capital to finance our operations through debt, equity, or alternative financing arrangements. We may also seek capital through collaborations or partnerships with other companies. The issuance of debt could require us to grant additional liens on certain of our assets that may limit our flexibility. If we raise additional capital by issuing equity securities, the terms and prices for additional financings may be much more favorable to the new investors than the terms obtained by our existing stockholders. Additional financings also may significantly dilute the ownership of our existing stockholders. We are in a period of economic uncertainty, escalating trade tensions, inflation, and capital markets disruption, which has been significantly impacted by adverse developments affecting the financial services industry, geopolitical instability due to, among other things, the continued hostilities in Iran, Ukraine, Israel, and other areas. In addition, the disruption in the capital markets could make any financing more challenging, and there can be no assurance that we will be able to obtain such financing on commercially reasonable terms or at all. If we are unable to obtain additional financing, we may be required to reduce the scope of our future activities, which could harm our business, financial condition, and operating results. There can be no assurance that any additional financing required in the future will be available on acceptable terms,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continue to incur costs as a public company, including, but not limited to, costs and expenses for directors' fees; directors' and officers' insurance; investor relations fees; expenses for compliance with the Sarbanes-Oxley Act of 2002 and related rules implemented by the SEC and Nasdaq, on which our common stock is listed; and various other costs. The Sarbanes-Oxley Act of 2002 requires that we maintain effective disclosure controls and procedures and internal controls.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the six months ended June 30, 2026 and 2025: </w:t>
      </w:r>
    </w:p>
    <w:p>
      <w:pPr>
        <w:pStyle w:val="TextBody"/>
        <w:bidi w:val="0"/>
        <w:jc w:val="left"/>
        <w:rPr/>
      </w:pPr>
      <w:r>
        <w:rPr/>
        <w:t> </w:t>
      </w:r>
    </w:p>
    <w:tbl>
      <w:tblPr>
        <w:tblW w:w="7499" w:type="dxa"/>
        <w:jc w:val="left"/>
        <w:tblInd w:w="0" w:type="dxa"/>
        <w:tblLayout w:type="fixed"/>
        <w:tblCellMar>
          <w:top w:w="28" w:type="dxa"/>
          <w:left w:w="28" w:type="dxa"/>
          <w:bottom w:w="28" w:type="dxa"/>
          <w:right w:w="28" w:type="dxa"/>
        </w:tblCellMar>
      </w:tblPr>
      <w:tblGrid>
        <w:gridCol w:w="4216"/>
        <w:gridCol w:w="146"/>
        <w:gridCol w:w="211"/>
        <w:gridCol w:w="1096"/>
        <w:gridCol w:w="166"/>
        <w:gridCol w:w="146"/>
        <w:gridCol w:w="211"/>
        <w:gridCol w:w="109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(9,699,511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(21,024,921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6,736,288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(15,228,860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1,002,810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(24,951,468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(13,285,823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Net cash used in operating activities was $9.7 million for the six months ended June 30, 2026, compared to net cash used in operating activities of $21.0 million for the same period in 2025. The primary use of cash was to fund our operations. The decrease in the amount of cash used in operating activities for the six months ended June 30, 2026 as compared to 2025 was principally due to decreases in research and development activities, a reduction in the value of stock-based cash awards, and decreases in accrued expenses due to the amount and timing of payments for research and development activities for the six months ended June 30, 2026 compared to the same period in 2025.</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Investing activities were immaterial for the six months ended June 30, 2026. For the six months ended June 30, 2025, net cash provided by investing activities was $6.7 million, primarily reflecting maturities of marketable securities offset by purchases of marketable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Net cash used in financing activities was $15.2 million for the six months ended June 30, 2026, compared to net cash provided by financing activities was $1.0 million for the six months ended June 30, 2025. The net cash used in financing activities for the six months ended June 30, 2026 consisted primarily of the repayment of the outstanding Loan and Security Agreement. The net cash provided by financing activities for the six months ended June 30, 2025 consisted primarily of exercises of options. </w:t>
      </w:r>
    </w:p>
    <w:p>
      <w:pPr>
        <w:pStyle w:val="TextBody"/>
        <w:bidi w:val="0"/>
        <w:spacing w:before="24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are allowed to comply with the disclosure obligations applicable to a "smaller reporting company," as defined by Rule 12b-2 of the Exchange Act, with respect to this Quarterly Report on Form 10-Q, we are not required to provide the information required by this Item.</w:t>
      </w:r>
    </w:p>
    <w:p>
      <w:pPr>
        <w:pStyle w:val="TextBody"/>
        <w:bidi w:val="0"/>
        <w:spacing w:before="240" w:after="283"/>
        <w:jc w:val="left"/>
        <w:rPr>
          <w:rFonts w:ascii="Times New Roman" w:hAnsi="Times New Roman"/>
          <w:b/>
          <w:color w:val="000000"/>
          <w:sz w:val="20"/>
        </w:rPr>
      </w:pPr>
      <w:bookmarkStart w:id="12" w:name="item_4_controls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Conclusion Regarding the Effectiveness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supervision and with the participation of our Disclosure Committee and management, including our Chief Executive Officer and Principal Financial and Accounting Officer, we evaluated the effectiveness of the design and operation of our disclosure controls and procedures (as defined in Rules 13a-15(e) and 15d-15(e) under the Securities Exchange Act of 1934 (Exchange Act)) as of the end of the period covered by this report. Based on our management’s evaluation (with the participation of our Chief Executive Officer and our Principal Financial and Accounting Officer), as of the end of the period covered by this report, our Chief Executive Officer and our Principal Financial and Accounting Officer have concluded that our disclosure controls and procedures were effective at the reasonable assurance level.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no change in our internal control over financial reporting (as defined in Rules 13a-15(f) and 15d-15(f) of the Exchange Act) during the three months ended June 30, 2026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 – OTHER INFORMATION</w:t>
      </w:r>
    </w:p>
    <w:p>
      <w:pPr>
        <w:pStyle w:val="TextBody"/>
        <w:bidi w:val="0"/>
        <w:spacing w:before="240" w:after="283"/>
        <w:jc w:val="left"/>
        <w:rPr>
          <w:rFonts w:ascii="Times New Roman" w:hAnsi="Times New Roman"/>
          <w:b/>
          <w:color w:val="000000"/>
          <w:sz w:val="20"/>
        </w:rPr>
      </w:pPr>
      <w:bookmarkStart w:id="13" w:name="legal_proceedings_1"/>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30, 2026, a purported stockholder filed a putative class action lawsuit (the Securities Class Action) in the U.S. District Court for the District of Massachusetts, against us and certain current and former officers. The lawsuit alleges violations by the defendants of Sections 10(b) and 20(a) of the Securities Exchange Act of 1934 and SEC Rule 10b-5. The plaintiff alleges that the defendants made false or misleading statements or failed to disclose certain information concerning the NDA for and the prospects of reproxalap for the treatment of dry eye disease. The lawsuit seeks, among other things, compensatory damages on behalf of all persons and entities that purchased or otherwise acquired our securities between November 3, 2023, and March 16, 2026, as well as attorneys’ fees and costs. At this time, we cannot reasonably predict the outcome or estimate potential losses, if any, that could result from this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subject to legal proceedings, claims and litigation arising in the ordinary course of business. We currently are not a party to any material legal proceedings that we expect to have any material adverse effect on our business, financial condition or results of operation.</w:t>
      </w:r>
    </w:p>
    <w:p>
      <w:pPr>
        <w:pStyle w:val="TextBody"/>
        <w:bidi w:val="0"/>
        <w:spacing w:before="240" w:after="283"/>
        <w:jc w:val="left"/>
        <w:rPr>
          <w:rFonts w:ascii="Times New Roman" w:hAnsi="Times New Roman"/>
          <w:b/>
          <w:color w:val="000000"/>
          <w:sz w:val="20"/>
        </w:rPr>
      </w:pPr>
      <w:bookmarkStart w:id="14" w:name="risk_factors_1"/>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business is subject to numerous risks. You should carefully consider the risks described below together with the other information set forth in this quarterly report on Form 10-Q, which could materially affect our business, financial condition, and future results. The risks described below are not the only risks facing our company. Risks and uncertainties not currently known to us or that we currently deem to be immaterial also may materially adversely affect our business, prospects, financial condition, and operating results.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Summary of Risks Related to our Business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Below is a summary of the principal factors that make an investment in our common stock speculative or risky. The risk factor summary does not address all of the risks that we face. Additional discussion of the risks summarized in the risk factor summary, and other risks that we face, can be found below and should be carefully considered, together with other information in this quarterly report on Form 10-Q and our other filings with the Securities and Exchange Commission before making investment decisions regarding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dependent in large part on the successful commercialization of reproxalap. If we are unable to successfully obtain marketing approval for reproxalap, or experience significant delays in doing so, or if, after obtaining marketing approval, we or our strategic partners fail to successfully commercialize reproxalap,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generate revenue, we will depend on FDA approval and successful commercialization of reproxalap. Our success in obtaining regulatory approval of reproxalap from the FDA depends on whether we successfully address the issues raised by the FDA in the 2026 Complete Response Letter (as defined below), and our ability to address any issues the FDA may raise in the future. If we are unable to successfully obtain FDA approval, or FDA approval is delayed or limited, our ability to generate revenue will be significantly delayed.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remain responsible for funding further development and commercialization of reproxalap, we may be unable to raise the additional capital required to further develop and commercialize reproxalap or enter into a collaboration agreement with another pharmaceutical company with equivalent or comparable terms,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develop and commercialize other product candidates, we may be unable to grow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Reproxalap and our other product candidates are subject to extensive regulation, compliance with which is costly and time consuming, and such regulation may cause unanticipated delays, or prevent the receipt of the required approvals to commercialize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competitors develop treatments for the target indications of our product candidates that are approved more quickly than ours, marketed more successfully, or demonstrated to be safer or more effective than our product candidates, our commercial opportunity will be reduced or eliminated.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operating losses since inception and we expect to incur significant losses over the next several years. We may never become profitable or, if achieved, be able to sustain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substantial additional financing, and a failure to obtain necessary capital when needed on acceptable terms, or at all, could force us to delay, limit, reduce, or terminate our product development, other operations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our clinical trials. If any third party does not meet our deadlines or otherwise conduct the trials as required and in accordance with regulations, our clinical development programs could be delayed or unsuccessful and we may not be able to obtain regulatory approval for or successfully commercialize our product candidates when expected,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health emergencies, epidemics or pandemics may impact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affecting the biotechnology industry, which could adversely affect our current and projected business operations, financial condition,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Potential Development and Commercialization of Reproxalap and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is dependent in large part on the successful commercialization of reproxalap, if approved. If we are unable to successfully obtain marketing approval for reproxalap or experience significant delays in doing so, or if, after obtaining marketing approvals, we or our strategic partners fail to successfully commercialize these product candidates,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in large part on regulatory approval and successful commercialization of reproxalap for our future business success. There is a significant risk that we will fail to successfully obtain marketing approval and/or we or our partners will fail to successfully commercialize reproxalap. Of the large number of drugs in development in the pharmaceutical industry, only a small percentage result in the submission of an NDA to the FDA, and even fewer are approved for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and following potential NDA approval, we will invest a significant portion of our time and financial resources on the commercialization of reproxalap. We cannot accurately predict when or if reproxalap will receive marketing approval. Our ability to generate product revenue will depend on our obtaining marketing approval for, and commercializing reproxalap alone or with others. The future regulatory and commercial success of reproxalap and our other product candidates is subject to a number of risks,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marketing approval for reproxalap or any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and enter into a collaboration agreement with a suitable third party on acceptable terms for the commercialization of reproxalap;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at commercial scale, marketing, selling, and distributing those products for which we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achieving an adequate level of market acceptance of and obtaining and maintaining coverage and adequate reimbursement from third</w:t>
        <w:noBreakHyphen/>
        <w:t>party payors for any products we commercialize;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and protecting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provide sufficient evidence of safety and efficacy to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bodies, may implement new standards, or change the interpretation of existing standards or requirements for regulatory approval, in general or with respect to the indications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bodies, may require additional clinical data, as was the case with the Complete Response Letters;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have sufficient financial and other resources to pursue our business plans, complete necessary clinical trials of our product candidates, and commercialize our approved products,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approved, reproxalap and our other product candidates will compete with well-established or other products or therapeutic options already approved for marketing by the FDA or comparable foreign regulatory bodies;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competitive products may be more effectively or comprehensively marketed to physicians or patients, or may be contracted with payors more successfully;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clinical trials may not meet the endpoints or level of statistical or clinical significance required by the FDA or comparable foreign regulatory bodies for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and efficacy results of our later phase or larger clinical trials may not confirm the results of our earlier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in our clinical trials may demonstrate greater response rates or improvements from vehicle or in the non-treatment arm then was expected when designing and powering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variability in patients, adjustments to clinical trial procedures, and inclusion of additional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initial parts of adaptive clinical trials are not designed to be pivotal or definitive, and as such we may not satisfy the designated endpoints and may need to revise the design or endpoints to achieve success in later parts of the trial or potentially abandon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timely or adequately finalize the design or formulation of any product candidate or demonstrate that a formulation of our product candidate will be stable for commercially reasonable time periods;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adversely affected by legislative or regulatory reform of the health care system in the United States or other jurisdictions in which we may do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obtain, maintain, or enforce our patents and other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even if we do receive regulatory approval to market reproxalap or any of our other product candidates, any such approval may be subject to limitations on the indicated uses for which we may market the product. Accordingly, even if we are able to obtain the requisite financing to commercialize our product candidates or continue to fund our development programs, we cannot assure that reproxalap will be successfully commercialized, or our other product candidates will be successfully developed or commercialized. If we are unable to obtain regulatory approval for or, if approved, we or any of our future partners are unable to successfully commercialize reproxalap or our other product candidates, we may not be able to generate sufficient revenue to continue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To generate revenue, we will depend on FDA approval and successful commercialization of reproxalap. Our success in obtaining regulatory approval of reproxalap from the FDA depends on whether we successfully address the issues raised by the FDA in the 2026 Complete Response Letter, and our ability to address any issues the FDA may raise in the future. If we are unable to successfully obtain FDA approval, or FDA approval is delayed or limited, our ability to generate revenue will be significantly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will depend on the successful development, regulatory approval and commercialization of reproxalap. We submitted an NDA (the Reproxalap NDA) for reproxalap for the treatment of the signs and symptoms of dry eye disease in December 2022 and on November 27, 2023, we announced that we had received a Complete Response Letter from the FDA regarding this filing (the 2023 Complete Response Letter). In October 2024, we resubmitted the Reproxalap NDA, which included results from a revised chamber trial in response to the 2023 Complete Response Letter and on April 3, 2025, we announced that we had received a Complete Response Letter from the FDA (2025 Complete Response Letter, and collectively with the 2023 Complete Response Letter, the Complete Responses Letters) with respect to the resubmission. In the 2025 Complete Response Letter, the FDA stated that the Reproxalap NDA “failed to demonstrate efficacy in adequate and well controlled studies in treating ocular symptoms associated with dry eyes” and that “at least one additional adequate and well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controlled study to demonstrate a positive effect on the treatment of ocular symptoms of dry eye” should be conducted. The letter identified concerns with the data from the trial submitted to the Reproxalap NDA that may have affected interpretation of the results, which the FDA stated may be related to methodological issues, including a difference in baseline scores across treatment arms. On May 5, 2025, we announced the results from two additional dry eye disease trials, an additional dry eye chamber trial and a field trial. The additional dry eye chamber trial achieved the primary endpoint (P=0.002) of reducing patient-reported ocular discomfort in a dry eye chamber. In June 2025, we resubmitted the Reproxalap NDA, which, based on written agreement with the FDA, primarily consisted of results from the additional dry eye chamber trial. On July 17, 2025, we announced that the FDA accepted the Reproxalap NDA for review and assigned a PDUFA date of December 16, 2025. On December 15, 2025, we announced that the FDA had requested submission of the clinical study report for the field trial, triggering an extension of the PDUFA date to March 16,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17, 2026, we announced that we had received a Complete Response Letter from the FDA (the 2026 Complete Response Letter). The 2026 Complete Response Letter stated that there is “a lack of substantial evidence consisting of adequate and well-controlled investigations  that the drug product will have the effect it purports or is represented to have under the conditions of use prescribed, recommended, or suggested in its proposed labeling” and that “the application has failed to demonstrate efficacy in adequate and well controlled studies in the treatment of signs and symptoms of dry eye disease.” The 2026 Complete Response Letter also stated that the “inconsistency of study results raises serious concerns about the reliability and meaningfulness of the positive findings” and that the “totality of evidence from the completed clinical trials does not support the effectiveness of the product.” On July 14, 2026, we received minutes (the Minutes) from a Type A meeting, held on June 10, 2026 with the FDA, regarding potential resubmission of the Reproxalap NDA. On July 15, 2026, we requested a clarification of the Minutes from the FDA. In addition, we intend to request a Type D meeting with the FDA to discuss potential resubmission of the Reproxalap NDA. The Type D meeting is expected to be held by the end of the third quarter of 2026. A Type D meeting is intended to facilitate focused discussion on a limited number of specific issues, but there can be no assurance that the FDA will agree with our proposed approach. If the FDA requires us to conduct a additional clinical trials, we could incur additional costs and delays, to the extent any such trial is more complex, time-consuming and/or expensive to design, initiate and complete. Furthermore, we may decide to submit a formal dispute resolution request to the FDA as a follow-up to our recent Type A and Type D meetings regarding the 2026 Complete Response Letter.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review of a potential NDA resubmission or potential approval of the Reproxalap NDA, the FDA could require additional studies or clinical trials, and the submission of the results of those studies or clinical trials before a potential NDA resubmission will be reconsidered, which would require us to expend more resources than we planned or that are available to us, and could substantially delay acceptance and/or approval, if any, of a potential NDA resubmission. Any such requirement would increase our costs and delay approval and commercialization of reproxalap for the treatment of dry eye disease and would have a material adverse effect on our business and financial condition. There can be no assurance that the FDA will ever ultimately grant approval for reproxalap or that we will continue to pursue approval for reproxalap, whether for financial reasons or for other reasons at the discretion of Aldeyra.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reproxalap is approved for the treatment of dry eye disease, the FDA may restrict patient populations or conditions of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regulatory approval of reproxalap, once obtained, may be withdrawn. Ultimately, the failure to obtain and maintain regulatory approvals would prevent reproxalap from being marketed and would have a material adverse effect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FDA’s shift toward “radical transparency,” including plans to release future complete response letters promptly after they are issued to sponsors, could have an adverse impact on our business and adversely affect our commercial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2025, the FDA announced a policy shift toward public disclosure of complete response letters issued for drugs that had not been approved. Additionally, in September 2025, the FDA announced that it will release future complete response letters promptly after they are issued to sponsors and the agency released a number of unpublished complete response letters issued associated with pending or withdrawn applications, including the reproxalap Complete Response Letter. Although the FDA has stated that all released letters will be redacted to remove confidential commercial information, trade secrets, and personal private information, public disclosure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such letters we may receive could expose detailed information regarding our clinical data, chemistry, manufacturing and controls (CMC), or regulatory strategy. Although we intend to coordinate closely with the FDA to protect proprietary information, there is no assurance that such efforts will be successful or that any inadvertent disclosures will be remedied. Moreover, once published, we may have limited ability to correct or contextualize the FDA’s statements. As a result, this new policy of radical transparency could result in unforeseen reputational, operational, financial, and legal consequences for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public release of a complete response letter for one of our product candidates could materially and adversely affect our business and result in unforeseen reputational, operational, financial, and legal consequences. Such publication, among other things,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lead to negative publicity and loss of investor confidence in our development programs, causing significant volatility in our stock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damage relationships with collaborators, suppliers, and current or potential partners, some of whom may reconsider engagements or financing commitments based on perceived weaknesses in our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or amplify litigation risk, including shareholder class actions alleging violations of federal securities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trigger heightened SEC scrutiny of our disclosure practices if information included in the FDA’s publication is inconsistent with prior public statements or filings;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complicate ongoing regulatory interactions, particularly if deficiencies cited by the FDA are discussed publicly before resolution.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AbbVie Option is not exercised by AbbVie and we remain responsible for funding further development and commercialization of reproxalap, we may be unable to raise the additional capital required to further develop and commercialize reproxalap or enter into a collaboration agreement with another pharmaceutical company with equivalent or comparable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exclusive option (the AbbVie Option) to enter into the Co-Development, Co-Commercialization and License Agreement (the Collaboration Agreement) is not exercised by AbbVie Inc. (AbbVie), pursuant to the exclusive option agreement with AbbVie, we will be responsible for funding further development and commercialization of reproxalap, and may be unable to raise the additional capital required to further develop and commercialize reproxalap or enter into a collaboration agreement with another pharmaceutical company with equivalent or comparable terms, or at all. Additionally, AbbVie may request or require us to undertake additional activities prior to or in connection AbbVie’s potential exercise of the AbbVie Option, which we may not be able to undertake or complete. If we are unable to raise capital when needed or on attractive terms, we could be forced to delay, reduce, or eliminate our research and development programs and reproxalap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required to continue the development and commercialization of reproxalap on our own, we may need to build marketing, sales, distribution, managerial, and other non-technical capabilities to commercialize reproxalap or make arrangements with third parties to perform certain services. The establishment and development of our own sales force or the establishment of a contract sales force to market reproxalap would be expensive and time-consuming and could delay any commercial launch. Moreover, we cannot be certain that we will be able to successfully develop commercial capabilities. We would have to compete with other pharmaceutical and biotechnology companies to recruit, hire, train, and retain marketing and sales personnel. We would also face competition in the search for third parties to assist with the sales and marketing efforts of reproxalap.</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AbbVie Option is exercised and the Collaboration Agreement is executed, then pursuant to the terms of the Collaboration Agreement, we would work closely with AbbVie to execute a commercialization plan for reproxalap in the United States, and the commercialization plan may never achieve desired outcomes.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Collaboration Agreement, we would work with AbbVie to execute a joint commercialization plan for reproxalap in the United States and execute upon the commercialization plan with the intention to optimize the commercial potential of reproxalap. If the collaboration is not successful, then our business, financial condition, and results of operations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develop and commercialize other product candidates, we may be unable to grow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growth strategy, we plan to evaluate the development and commercialization of other therapies related to immune-mediated diseases. We will evaluate internal opportunities from our compound libraries, and also may choose to continue to in-license or acquire other product candidates, as well as commercial products, to treat patients suffering from immune-mediated disorders with high unmet medical needs and limited treatment options. New product candidates will require additional, time-consuming development efforts prior to commercial sale, including preclinical studies, clinical trials, and approval by the FDA and/or applicable foreign regulatory authorities. In-licensed product candidates may have been unsuccessfully developed by others in indications similar to those that we may pursue. All product candidates are prone to the risks of failure that are inherent in pharmaceutical product development, including the possibility that the product candidate will not be shown to be sufficiently safe and/or effective for approval by regulatory authorities and/or achieve market acceptance. For example, in June 2023, we received a Complete Response Letter from the FDA regarding our NDA for ADX</w:t>
        <w:noBreakHyphen/>
        <w:t>2191 for the treatment of primary vitreoretinal lymphoma (the ADX</w:t>
        <w:noBreakHyphen/>
        <w:t>2191 Complete Response Letter). The ADX</w:t>
        <w:noBreakHyphen/>
        <w:t>2191 Complete Response Letter stated that there was a “lack of substantial evidence of effectiveness” due to “a lack of adequate and well-controlled investigations” in the literature-based NDA submission. In January 2024 we de-prioritized the previously announced programs of ADX</w:t>
        <w:noBreakHyphen/>
        <w:t>629 in chronic cough and idiopathic nephrotic syndrome due to regulatory and trial feasibility challenges, respectively. Additionally, in the year ended December 31, 2024, we deprioritized and subsequently ceased development of ADX</w:t>
        <w:noBreakHyphen/>
        <w:t>2191 for the treatment of proliferative vitreoretinopathy due to the requirement from the FDA to run clinical trials that we did not deem to be feasible. In the quarter ended September 30, 2025, we discontinued clinical development of ADX</w:t>
        <w:noBreakHyphen/>
        <w:t>629, pending further investigator-sponsored clinical testing in Sjögren-Larsson Syndrome. If marketing approval for our other product candidates is delayed, limited or denied, our ability to market the product candidate, and our ability to generate product sales, would be adversely affected. Such a delay could occur because a competitor product is approved before our product and secures patent protection, market exclusivity, or both, and thereby precludes our product approval for a number of years. It is also possible that additional studies or clinical trials may not suffice to make our application approvable. In addition, we cannot assure you that any such products that are approved will be manufactured or produced economically, adequately priced, successfully commercialized, or widely accepted in the marketplace, or will be more effective than other commercially available alternatives.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Any termination or suspension of, or delays in the commencement or completion of, our clinical trials could result in increased costs to us, delay or limit our ability to generate revenue, and adversely affect our commercial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commencement or completion of our ongoing or planned clinical trials for our product candidates could significantly affect our product development costs and timeline. We do not know whether future trials will begin on time or be completed on schedule, if at all. The commencement and completion of clinical trials can be delayed for a number of reasons, including delays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health epidemics or pandemics or responses thereto;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an institutional review board, or IRB, failing to grant permission to proceed or placing a clinical trial on hold;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failing to enroll or remain in our clinical trials at the rate we expect;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choosing an alternative treatment for the indication for which we are developing our product candidates, or participating in competing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experiencing severe, serious, or unexpected drug-related adverse effects, whether drug-related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facility manufacturing our product candidates or drug product components being ordered by the FDA or other government or regulatory authorities to temporarily or permanently shut down due to violations of cGMP or other applicable requirements, or due to infections or cross-contaminations of product candidates in the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changes to our manufacturing process that may be necessary or desired;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timely manufacture sufficient quantities of the applicable product candidate for a clinical trial or expiration of materials intended for use in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clinical investigators losing the licenses or permits necessary to perform our clinical trials, or not performing our clinical trials on our anticipated schedule or consistent with the clinical trial protocol, cGMP, or regulatory requirements, or other third parties not performing data collection or analysis in a timely or accurate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inspections of clinical trial sites by the FDA or the finding of regulatory violations by the FDA or IRB, that require us or others to undertake corrective action, result in suspension or termination of one or more sites or the imposition of a clinical hold in part or on the entire trial, or prohibit us from using some or all of the data in support of our marketing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shipment of clinical trial material reaching clinical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or more IRBs refusing to approve, suspending, or terminating a clinical trial at an investigational site, precluding enrollment of additional subjects, or withdrawing approval of the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development costs will increase if we have delays in testing or approval of our product candidates or if we need to perform more, larger, or longer clinical trials than planned. Additionally, changes in regulatory requirements and policies may occur and we or our partners may need to amend clinical trial protocols to reflect these changes. Amendments may require us to resubmit our clinical trial protocols to IRBs for reexamination, which may impact the costs, timing, or successful completion of a clinical trial. If we experience delays in completion of, or, if we, the FDA, or other regulatory authorities, the IRB, other reviewing entities, or any of our clinical trial sites suspend or terminate any of, our clinical trials, the commercial prospects for a product candidate may be harmed and our ability to generate product revenue, if any, will be delayed. In addition, many of the factors that cause or lead to termination or suspension of, or a delay in the commencement or completion of, clinical trials may also ultimately lead to the denial of regulatory approval of a product candidate. Further, if one or more clinical trials are delayed, our competitors may be able to bring products to market before we do, and the commercial viability of our product candidates could be significantly reduced.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Reproxalap and our other product candidates are subject to extensive regulation, compliance with which is costly and time consuming, and such regulation may cause unanticipated delays, or prevent the receipt of the required approvals to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development, manufacturing, labeling, storage, record-keeping, advertising, promotion, import, export, marketing, and distribution of our product candidates are subject to extensive regulation by the FDA in the United States and by comparable authorities in foreign markets. In the United States, we are not permitted to market our product candidates until we receive regulatory approval from the FDA. The process of obtaining regulatory approval is expensive and time-consuming, and can vary substantially based upon the type, complexity, and novelty of the products involved, as well as the target indication, and patient population. Approval policies or regulations may change, and the FDA has substantial discretion in the drug approval process, including the ability to delay, limit, or deny approval of a product candidate for many reasons. Additionally, other parties have and may file citizens' petitions with the FDA in an attempt to persuade the FDA that our product candidates, or the clinical trials that support our product candidates contain deficiencies. Such actions could delay or even prevent the FDA from approving any of our NDAs. Despite the time and expense invested in clinical development of product candidates, regulatory approval, and subsequent commercial success is uncertain and not guaranteed.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Reproxalap and our other product candidates, and the activities associated with development and commercialization, including testing, manufacture, safety, efficacy, recordkeeping, labeling, storage, approval, advertising, promotion, sale, and distribution, are subject to extensive regulation by the FDA and other regulatory agencies in the United States and by comparable authorities in other jurisdictions.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ongoing research and development activities and planned clinical development and commercialization for our product candidates may be delayed, modified, or ceased for a variety of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determining that a product candidate is ineffective or potentially causes harmful side effects during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events which had initially been considered unrelated to the product candidate may later, even following approval and/or commercialization, be found to be caused by the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establishing predictive preclinical models for demonstration of safety and efficacy of a product candidate in one or more potential therapeutic areas for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in our clinical trials may demonstrate greater response rates or improvements from vehicle or standard of care than was expected when designing and powering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availability of, or difficulty recruiting and retaining, a sufficient number of patients to adequately power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manufacturing a product candidate, including the inability to manufacture a product candidate in a sufficient quantity, suitable form, or in a cost-effective manner, or under processes acceptable to the FDA for marketing approval or commercial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proprietary rights of third parties, which may preclude us from developing or commercializing a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determining that a product candidate may be uneconomical for us to develop or commercialize, or may fail to achieve market acceptance or adequate pricing or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determining that one or more clinical trials that may be required for approval of a product candidate is not feasible;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expenses and revenue, the sufficiency or use of our cash resources,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safety concern or signal may arise that triggers a clinical hold;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negative results or perceived negative results in clinical trials for one indication may have an adverse effect on our ability to develop and potentially commercialize reproxalap or our other product candidates for the treatment of another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secure strategic partners which may be necessary for advancement of a product candidate into clinical development or commercialization;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prioritization of other indications or product candidates for advancement.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comparable foreign regulatory authorities can delay, limit, or deny approval of a product candidate for many reasons,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disagree with the design, conduct, or implementation of our or any of our future development partners’ clinical trials, including the endpoints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require clinical data in addition to clinical trial programs we expect, or may require changes to the designs and endpoints of subsequent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competitor product may have patent protection or another type of market exclusivity that delays approval of our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any of our future development partners may be unable to demonstrate to the satisfaction of the FDA or other regulatory authorities that a product candidate is safe and effective for any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not accept clinical data from trials if conducted at clinical facilities or in countries where the standard of care is potentially different from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not demonstrate the safety or efficacy required by such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any of our future development partners may be unable to demonstrate that the clinical or other benefits of a product candidate outweigh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disagree with our interpretation of data from preclinical studies or clinical trials or the design of studies or trials, or require additional trials and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leadership or operation of such authorities, which may result in, among other things, the implementation of new standards, or changes to the interpretation or enforcement of existing regulatory standards and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find deficiencies in the manufacturing processes or facilities of third-party manufacturers with which we or any of our future development partners contract for clinical and commercial supplies;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standards, or regulations of such authorities may significantly change in a manner rendering our or any of our future development partners’ clinical data or regulatory submissions insufficient for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foreign markets, approval procedures vary among countries and, in addition to the aforementioned risks, can involve additional product testing, administrative review periods, and agreements with pricing authorities. In addition, events raising questions about the safety of certain marketed pharmaceuticals may result in increased cautiousness by the FDA and comparable foreign regulatory authorities in reviewing new drugs based on safety, efficacy, or other regulatory considerations and may result in significant delays in obtaining regulatory approvals. Any delay in obtaining, or inability to obtain, applicable regulatory approvals would prevent us or any of our future development partners from commercializing our product candidates. Moreover, we cannot predict healthcare reform initiatives, including potential reductions in federal funding or insurance coverage, that may be adopted in the future and whether or not any such reforms would have an adverse effect on our business and our ability to obtain regulatory approval for our current or future product candidates. There are evolving legal requirements that will continue to affect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Because the Company has no experience in commercializing pharmaceutical products, there is a limited amount of information about us upon which to evaluate our product candidates and business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yet demonstrated an ability to successfully overcome many of the pre-commercial and commercial risks and uncertainties frequently encountered by companies in new and rapidly evolving fields, particularly in the biopharmaceutical area. For example, to execute our business plan we will need to successfully: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execute our product candidate development activities, including successfully designing and completing our clinical trial programs and product design and formulation of future product candidates, in a cost- effective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file for and obtain required regulatory approvals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a collaboration agreement with a suitable third party on acceptable terms for the commercialization of reproxalap;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 our spending as costs and expenses increase due to the performance and completion of clinical trials, attempting to obtain regulatory approvals, manufacturing,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secure substantial additional funding;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and maintain successful strategic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 and maintain a strong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 and maintain appropriate clinical, regulatory, quality, manufacturing, compliance, sales, distribution, and marketing capabilities on our own or through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 and maintain operational, financial, and management systems;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our product candidates, if approved, at expected levels and obtain and maintain sufficient insurance and reimbursement from insurers and other payors;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broad market acceptance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unsuccessful in accomplishing these objectives, we may not be able to develop product candidates, raise capital, expand our business, or continue our operations. Further, even if we are successful in clinical trials of product candidates, we may choose to place further development or commercialization on hold given perceived marketing challenges or the relative differences in commercial attractiveness within our portfolio.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successful in our efforts to identify or discover additional potential product candidates, or our decisions to prioritize the development of certain product candidates over others may later prove wrong.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 of our strategy involves identifying and developing product candidates to build a pipeline of product candidates. Our drug discovery efforts may not be successful in identifying compounds that are useful in treating immune-mediated or other diseases. Our research programs may initially show promise in identifying potential product candidates, yet fail to yield product candidates for clinical development for a number of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research methodology used may not be successful in identifying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product candidates may, on further study, be shown to have harmful side effects or other characteristics that indicate that they are unlikely to be drugs that will receive marketing approval and/or achieve market acceptance;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product candidates may not be effective in treating their targeted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advancing multiple clinical development programs, which may create a strain on our limited human and financial resources. As a result, we may not be able to provide sufficient resources for any single product candidate to permit the successful development and commercialization of such product candidate, which could result in material harm to our business. Further, 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For example, in the year ended December 31, 2024, we deprioritized and subsequently ceased development of ADX</w:t>
        <w:noBreakHyphen/>
        <w:t>2191 for the treatment of proliferative vitreoretinopathy due to the requirement from the FDA to run clinical trials that we did not deem to be feasible. In addition, during the quarter ended September 30, 2025, we discontinued clinical development of ADX</w:t>
        <w:noBreakHyphen/>
        <w:t>629, pending further investigator-sponsored clinical testing in Sjögren-Larsson Syndrome. Our resource allocation decisions may cause us to fail to capitalize on viable commercial products or profitable market opportunities. Our spending on current and future research and development programs and product candidates for specific indications may not yield any additional commercially viable products. In addition, our projections of both the number of patients with the targeted indications, as well as the subset of patients with the targeted indications who have the potential to benefit from treatment with our product candidates, are based on estimates. If any of our estimates are inaccurate, the market opportunities for any of our product candidates could be significantly diminished and have an adverse material impact on our business. Additionally, the potentially addressable patient population for our product candidates may be limited, or may not be amenable to treatment with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results of preclinical studies and earlier clinical trials are not always predictive of future results. Any product candidate we or any of our future development partners advance into clinical trials may not have favorable results in later clinical trials, if any, or receive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development has inherent risk. We or any of our future development partners will be required to demonstrate through adequate and well-controlled clinical trials that our product candidates are safe and effective, with a favorable benefit-risk profile, for use in clinical indications before we can seek regulatory approvals for commercial sale. Drug development is a long, expensive, and uncertain process, and delay or failure can occur at any stage of development, including after commencement of any of our clinical trials. Any negative results or perceived negative results in clinical trials for one indication may have an adverse effect on our ability to develop and potentially commercialize reproxalap or our other product candidates for the treatment of another indication. In addition, as product candidates proceed through development, the trial designs may often be different and may need to evolve and change from phase to phase or within the same phase or same trial, as is the case for adaptive trials; the vehicles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 controls may be modified from trial to trial; and the product formulations or manufacturing process may differ due to the need to test product candidate samples that can be manufactured on a commercial scale. Success in run-in cohorts, earlier clinical trials, or clinical trials focused on a different indication does not mean that later clinical trials will be successful because product candidates in later-stage clinical trials may fail to demonstrate sufficient safety or efficacy despite having progressed through other phases of clinical testing. In addition, discussions with regulatory bodies, such as the FDA, may lead to changes in trial designs or programs. Companies frequently suffer significant setbacks in advanced clinical trials, even after run-in cohorts or earlier clinical trials have shown promising results. For example, the results of the TRANQUILITY Trial of reproxalap in dry eye disease did not reflect the results of the TRANQUILITY run-in cohort. Moreover, only a small percentage of drugs under development result in the submission of an NDA to the FDA and even fewer are approved for commercialization.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Because we are developing novel product candidates for the treatment of diseases in a manner which there is little clinical drug development experience and, in some cases, are designing adaptive trials or using new endpoints or methodologies, the regulatory pathways for approval are not well defined, and, as a result, there is greater risk that our clinical trials will not result in our desired outcomes or require additional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focus is on the development of new products for immune-mediated diseases. We performed an adaptive trial in proliferative vitreoretinopathy, the GUARD trial, and may do so with other indications in the future. In an adaptive trial, the initial parts of the trial are not designed to be pivotal or definitive. Rather, the initial parts of adaptive trials are expected to provide data to guide subsequent parts of the trial, which could require design changes, including but not limited to, different endpoints. In addition, following the initial parts of adaptive trials, we may, among other things, decide to continue to the subsequent parts of the trial, conclude the trial based on the success or failure in such initial parts, or discuss the trial results and regulatory pathway with regulatory authorities prior to determining next steps with respect to the trial and development program. As such, the likelihood of success in our late-stage clinical programs cannot necessarily be predicted.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also face challenges in designing clinical trials and obtaining regulatory approval of our product candidates due to the lack of historical clinical trial experience for novel classes of therapeutics. Thus, it is difficult to determine whether regulatory agencies will be receptive to the approval of our product candidates, and to predict the time and costs associated with obtaining regulatory approvals. The clinical trial requirements of the FDA and other regulatory agencies and the criteria regulators use to determine the safety and efficacy of a product candidate vary substantially according to the type, complexity, novelty, and intended use and market of the potential products. The regulatory approval process for novel product candidates such as ours can be more expensive and require more time and trial data than for other, better known, or more extensively studied classes of product candidates. In addition, it is possible that, as regulatory bodies gain more familiarity with our type of product candidates by reviewing competitor candidates, those agencies could impose new conditions on our product candidates that we did not expect. Any inability to design clinical trials with protocols, methodology, and endpoints acceptable to applicable regulatory authorities, and to obtain regulatory approvals for our product candidates, would have an adverse impact on our business, prospects,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Because some of our product candidates are, to our knowledge, new chemical entities, it is difficult to predict the time and cost of development and our ability to successfully complete clinical development of these product candidates and obtain the necessary regulatory approvals for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product candidates are, to our knowledge, new chemical entities, and unexpected problems related to new technologies may arise that can cause us to delay, suspend, or terminate our development efforts. As a result, short and long-term safety, as well as prospects for efficacy, are not fully understood and are difficult to predict. Regulatory approvals of new product candidates can be more expensive and take longer than approvals for well-characterized or more extensively studied pharmaceutical product candidates. Following discussions with the FDA and experts in the field, we may determine that it is not cost effective for us to develop one or more of our products in certain indications or we may decide to cease development in that area or seek a strategic partner.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able to qualify for or obtain various designations from regulators that would have the potential to expedite the review process of one or more of our product candidates, and even if we do receive one or more of such designations there is no guarantee that they will ultimately expedite the process, or aid in our obtaining marketing approval or provide market exclusivity.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exist several designations that we can apply for from the FDA and other regulators, including the European Medicines Agency (EMA), that would provide us with various combinations of the potential for expedited regulatory review, certain financial incentives as well as the potential for post-approval exclusivity for a period of time. FDA designations include but are not limited to orphan drug designation, breakthrough therapy designation, accelerated approval, fast track status, and priority review for our product candidates. We may seek one or more of these designations for our current and future product candidates. For example, ADX</w:t>
        <w:noBreakHyphen/>
        <w:t>2191 has received orphan designation from the FDA for the treatment of primary vitreoretinal lymphoma and retinitis pigmentosa and fast track designation for the treatment of retinitis pigmentosa, as well as orphan designation from the EMA for the treatment of primary large B-cell lymphomas of immune-privileged sites, including primary vitreoretinal lymphoma and the treatment of inherited retinal dystrophies of the rod-dominant phenotype, including retinitis pigmentosa. There can be no assurance that any of our other product candidates will qualify for any of these designations. There can also be no assurance that any of our product candidates that do qualify for FDA or EMA designations will be granted such designations or that the FDA or EMA will not revoke such a designation. Further, there can be no assurance that any of our product candidates that are granted such designations will ever benefit from such designations or that the FDA or EMA would not withdraw such designations once granted. Were we to receive a designation that promised a period of market exclusivity, such as orphan drug exclusivity, such exclusivity may not effectively protect the product from competition because different drugs can be approved for the same condition. Further, with respect to orphan drug status, even after an orphan drug is approved, the FDA or EMA can subsequently approve the same drug for the same condition if the FDA or EMA concludes that the later drug is clinically superior if it is shown to be safer, more effective, or makes a major contribution to patient care.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To preserve trial integrity, clinical data from the initial parts of adaptive clinical trials may not be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Adaptive clinical trials are often performed such that the initial parts of the trial are used to determine sample size and endpoints for subsequent, possibly pivotal parts of the trial. Results from the initial parts of adaptive trials are therefore not designed to be pivotal or definitive, and, in some cases, detailed trial data may not be disclosed so as not to positively or negatively bias investigators or patients involved in subsequent parts of the trial. Further, the initial parts of adaptive trials may be performed in part to assess biomarkers or surrogate markers that may require substantial time to generate, analyze, and interpret. Thus, disclosure of clinical results from the initial parts of adaptive trials may also be delayed due to the time required for biomarker or surrogate marker assessment.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find it difficult to enroll patients in our clinical trials or identify patients during commercialization (if our products are approved by regulatory agencies) for product candidates addressing orphan or rare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business strategy, we have and continue to evaluate the development and commercialization of product candidates for the treatment of orphan and other rare diseases, including primary vitreoretinal lymphoma and retinitis pigmentosa. We may not be able to initiate or continue clinical trials if we are unable to locate a sufficient number of eligible patients willing and able to participate in the clinical trials required by the FDA or other non-United States regulatory agencies. In addition, if others develop products for the treatment of similar diseases, we would potentially compete for the enrollment in rare patient populations, which may adversely impact the rate of patient enrollment in and the timely completion of our current and planned clinical trials. Any negative results or perceived negative results in clinical trials of our product candidates may make it difficult or impossible to recruit or retain patients in other clinical trials of the same product candidate. Insufficient patient enrollment may be a function of other factors, including the size and nature of the patient population, the nature of the protocol, the proximity of patients to clinical sites, the timing and magnitude of disease symptom presentation, the availability of effective treatments for the relevant disease, and the eligibility criteria for the clinical trial. Our inability to identify and enroll a sufficient number of eligible patients for any of our current or future clinical trials would result in significant delays or may require us to abandon one or more clinical trials or development program. Public health epidemics or pandemics and the response thereto may have an impact on our ability to enroll and retain patients in our clinical trials. For instance, patient enrollment in our GUARD trial of ADX</w:t>
        <w:noBreakHyphen/>
        <w:t xml:space="preserve">2191 in proliferative vitreoretinopathy was negatively impacted as a result of limited clinical trial staffing at trial sites and some patients electing to delay surgery. Delays in patient enrollment in the future as a result of these and other factors may result in increased costs or may affect the timing or outcome of our clinical trials, which could prevent us from completing these trials and adversely affect our ability to advance the development of our product candidates. For instance, in rare diseases such as proliferative vitreoretinopathy and idiopathic nephrotic syndrome, lack of availability of, or difficulty recruiting or retaining a sufficient number of, patients may make it difficult or cost-prohibitive to sufficiently power our clinical trials, which may not enable us to continue development and seek regulatory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applicable product candidate. Further, if our products are approved by regulatory agencies, we may not be able to identify sufficient number of patients to generate significant revenue.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Any product candidate we or any of our future development partners advance into clinical trials may cause unacceptable adverse events or have other properties that may delay or prevent regulatory approval or commercialization or limit commercial potential.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Unacceptable adverse events caused by any of our product candidates that we or others advance into clinical trials could cause us or regulatory authorities to interrupt, delay, or halt clinical trials, or impose a clinical hold, potentially resulting in the denial of regulatory approval by the FDA or other regulatory authorities for any or all targeted indications and markets, which in turn could prevent us from completing development or commercializing the affected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develop our product candidates for the treatment of the indications for which we intend to seek approval, and we currently do not know the full extent of adverse events that will be observed in subjects that receive any of our product candidates. If any of our product candidates cause unacceptable adverse events in clinical trials, which may be larger or longer than those previously conducted, we may not be able to obtain regulatory approval or commercialize such product candidate.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Even if we obtain marketing approval for reproxalap or any other product candidate, approved product candidates could be subject to restrictions or withdrawal from the market and we may be subject to penalties if we fail to comply with regulatory requirements or if we experience unanticipated problems with our product candidates, when and if any are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United States regulatory approval is obtained, the FDA may still impose significant restrictions on indicated uses or marketing or impose ongoing requirements for potentially costly and time-consuming post-approval studies or clinical trials, post-market surveillance, or other potential additional clinical trials. Following approval, if any, of reproxalap or any other product candidate, such candidate will also be subject to ongoing FDA requirements governing the labeling, packaging, storage, distribution, safety surveillance, advertising, promotion, recordkeeping, and reporting of safety and other post-market information. In addition, manufacturers of drug products are subject to continual review and periodic inspections by the FDA and other regulatory authorities for compliance with cGMP requirements, including those relating to quality control, quality assurance, and corresponding maintenance of records and documents. If we or a regulatory agency discovers previously unknown problems with a product, such as adverse events of unanticipated seriousness, severity, or frequency, or problems with the facility where the product is manufactured, a regulatory agency may impose restrictions on that product, the manufacturing facility, or us, including requesting recall or withdrawal of the product from the market or suspension of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the manufacturing facilities for reproxalap or any other product candidate that may receive regulatory approval, if any, fail to comply with applicable regulatory requirements, a regulatory agency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warning letters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 injunction or impose civil or criminal penalties or monetary fines;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or withdraw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any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 to approve pending applications or supplements or applications filed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or impose restrictions on operations, including costly new manufacturing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seize or detain products, refuse to permit the import or export of product, or request us to initiate a product recall.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event or penalty described above may inhibit our ability to commercialize our product candidates and generate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the authority to require a risk evaluation and mitigation strategy (REMS) plan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and requiring treated patients to enroll in a registry.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reproxalap or any of our other product candidates is approved, the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approved labeling. If we receive marketing approval for a product candidate, physicians may nevertheless prescribe the product candidate to patients in a manner that is inconsistent with the approved label. If we are found to have promoted such off</w:t>
        <w:noBreakHyphen/>
        <w:t>label uses, we may become subject to significant liability. The FDA and other agencies actively enforce the laws and regulations prohibiting the promotion of off</w:t>
        <w:noBreakHyphen/>
        <w:t>label uses, and a company that is found to have improperly promoted off</w:t>
        <w:noBreakHyphen/>
        <w:t>label uses may be subject to significant sanctions. The federal government has levied large civil and criminal fines against companies for alleged improper promotion and has enjoined several companies from engaging in off</w:t>
        <w:noBreakHyphen/>
        <w:t>label promotion. The government has also entered into consent decrees and Corporate Integrity Agreements under which specified promotional conduct is changed or curtailed.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Even if we receive regulatory approval for reproxalap or any other product candidate, we or are partners, if any, still may not be able to successfully commercialize, and the revenue that we generate from its sales, if any, could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our product candidates receive regulatory approval, they may not gain market acceptance among physicians, patients, healthcare payors, or the medical community. Coverage and reimbursement of our product candidates by third-party payors, including government payors, is also generally necessary for commercial success. In addition, we or are partners, if any, may not be able to secure advantageous contracts with payors or price our products at the expected level or at levels that make successful commercialization viable. The pricing of our products will be subject to numerous factors, many of which are outside of our control, including the pricing of similar products. The degree of market acceptance of our product candidates will depend on a number of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demonstration of clinical efficacy and safety compared to other more-established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limitation of our targeted patient populations and other limitations or warnings contained in any FDA-approved labeling;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a new formulations by health care providers and their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seriousness, and severity of any adverse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procedures or methods of treatment that may be more effective in treating conditions for which our products are intended to treat;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of product candidates in a broader patient group, including use outside the approved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 and cost-effectiveness, including the cost of treatment in relation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or any future collaborators’ sales and marketing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sufficient, commercially advantageous, and timely third-party coverage or reimbursement from government health care programs, including Medicare and Medicaid, private health insurers and other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adverse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sales and marketing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publicity;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pay out-of-pocket in the absence of third-party coverage.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because the active ingredient of ADX</w:t>
        <w:noBreakHyphen/>
        <w:t>2191 (methotrexate) is a generic drug, a generic manufacturer may be able to develop and market a competitive intravitreal formulation of methotrexate following expiration of commercial exclusivity mandated via certain orphan drug designations. Generic drug competition would have a material and adverse effect on the commercial potential of ADX</w:t>
        <w:noBreakHyphen/>
        <w:t xml:space="preserve">2191. Further, our ability to successfully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commercialize ADX</w:t>
        <w:noBreakHyphen/>
        <w:t>2191, if approved, depends on a number of additional factors, including but not limited to, the level of enforcement by the FDA to ensure that compounded copies of commercially available FDA-approved products manufactured by compounding pharmacies, including compounded copies of ADX</w:t>
        <w:noBreakHyphen/>
        <w:t>2191, that may be in violation of the federal Drug Quality and Security Act (DQSA) and other relevant provisions of the United States Federal Food, Drug, and Cosmetic Act (FDCA), are not produced and dispensed to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we cannot predict what healthcare reform initiatives may be adopted in the future. Further federal and state legislative and regulatory developments are likely, and we expect that ongoing initiatives in the United States will increase pressure on drug pricing. Such reforms could have an adverse effect on the pricing of and anticipated revenue from our current or future product candidates for which we may obtain regulatory approval and may affect our overall financial condition and ability to develop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product candidate is approved but does not achieve an adequate level of acceptance by physicians, hospitals, healthcare payors, or patients, we may not generate sufficient revenue from that product candidate and may not become or remain profitable. Our or our partners’ efforts to educate the medical community and third-party payors on the benefits of reproxalap or any of our other product candidates may require significant resources and may never be successful. In addition, our or our partners’ ability to successfully commercialize our product candidate will depend on our ability to manufacture our products, differentiate our products from competing products and defend the intellectual property of our products. Competitors with numerous approved products may be able to negotiate pricing and reimbursement that is substantially more advantageous than that which we will be able to negotiate.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if any of our competitors’ products are approved and are unable to gain market acceptance for any reason, there could be a market perception that products such as reproxalap are not able to adequately meet an unmet medical need. If we or our partners, if any, are unable to demonstrate to physicians, hospitals, third-party payors, or patients that our products are better alternatives than competitive products or lack of intervention, we or our partners, if any, may not be able to gain market acceptance for our products at the levels we anticipate and our business may be materially harmed as a result.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market opportunities for reproxalap and our other product candidates are smaller than we believe they are, and if we are not able to successfully identify patients and achieve significant market share, our revenue may be adversely affected, and our business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focus our research and product development on treatments for immune-mediated diseases. Our estimated addressable markets and market opportunities for our product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Our projections of both the number of people who have diseases in our target markets, as well as the subset of people with diseases who have the potential to benefit from treatment with our product candidates, are based on estimates that have been derived from a variety of sources, including scientific literature, surveys of clinics, or market research, and may prove to be incorrect. Further, new studies may change the estimated incidence or prevalence of diseases in our target markets. The number of patients may turn out to be lower or more difficult to identify than expected. In addition, our product candidates may not achieve commercial success due to market conditions or regulatory challenges.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factors may negatively affect our ability to generate revenue from sales of our product and our ability to achieve and maintain profitability, and as a consequence, our business may suffer. In addition, inaccuracies or errors may cause us to misallocate capital and other critical business resources, which could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Reimbursement may be limited or unavailable in certain market segments for our product candidates, which could make it difficult for us to sell our product candidates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acceptance and sales of our product candidates will depend significantly on the availability of adequate insurance coverage and reimbursement from third-party payors for any of our product candidates and may be affected by existing and future health care reform measures. Government authorities and third-party payors, such as private health insurers and health maintenance organizations, decide which drugs will be reimbursed and establish reimbursement levels. The reimbursement levels may be significantly less than the currently anticipated pricing of our product candidates. As a result of negative trends in the general economy in the United States or other jurisdictions in which we may do business, government authorities or third-party payors may be unable to satisfy reimbursement obligations or may delay payment. Reimbursement by a third-party payor may depend upon a number of factors including the third-party payor’s determination that use of a product candidate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including cost effectiveness relative to existing contracts with other pharmaceutical companies;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coverage and reimbursement approval for a product candidate from a government or other third-party payor is a time-consuming and costly process that could require us to provide supporting scientific, clinical, and cost effectiveness data for the use of the applicable product candidate to the payor. We may not be able to provide data sufficient to gain acceptance with respect to coverage and reimbursement. We cannot be sure that coverage or adequate reimbursement will be available for any of our product candidates. Further, we cannot be sure that reimbursement amounts will not reduce the demand for, or the price of, our product candidates. If reimbursement is not available or is available only at limited levels, we may not be able to commercialize certain of our product candidates profitably, or at all, even if approved. In recent years, through legislative and regulatory actions, the federal government has made substantial changes to the United States healthcare system, including changes to the methods for, and amounts of, Medicare reimbursement. Many members of the United States Congress have attempted to repeal and replace the Patient Protection and Affordable Care Act (PPACA), but they have been unsuccessful in doing so as of the date of the filing of this report. We cannot predict the ultimate form or timing of any repeal or replacement of PPACA or the effect such repeal or replacement would have on our business. Regardless of the impact of repeal or replacement of PPACA on us, the government has shown significant interest in pursuing healthcare reform and reducing healthcare costs. On April 15, 2025, President Trump issued an executive order directing the Secretary of the Department of Health and Human Services (HHS) to take certain actions on drug pricing reform, including working with Congress on amendments to the IRA and rulemaking to establish new Medicare payment models for so-called “high-cost” prescription drugs and biological products. These reforms could significantly reduce payments from Medicare and Medicaid over the next ten years. Reforms or other changes to these payment systems, including modifications to the conditions on qualification for payment, bundling of payments, or the imposition of enrollment limitations on new providers, may change the availability, methods, and rates of reimbursements from Medicare, private insurers, and other third-party payers for our current and future product candidates, if any, for which we are able to obtain regulatory approval. Some of these changes and proposed changes could result in reduced reimbursement rates for such product candidates, if approved, which would adversely affect our business strategy, operations, and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legislative proposals and the trend toward managed health care in the United States, third-party payors are increasingly attempting to contain health care costs by limiting both coverage and the level of reimbursement of new drugs. Payors may also refuse to provide coverage of approved product candidates for medical indications other than those for which the FDA has granted market approvals. As a result, significant uncertainty exists as to whether and how much third-party payors will reimburse patients for use of newly approved drugs, which in turn could lower drug pricing. We expect to experience pricing pressures in connection with the sale of our product candidates due to the trend toward managed health care, the increasing influence of health maintenance organizations, larger companies contracting with payors to diminish reimbursement for competitive products, and additional legislative proposals, in addition to country, regional, or local healthcare budget limitations.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a multitude of manufacturing risks, any of which could substantially increase our costs and limit supply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of manufacturing our products is complex, highly regulated, and subject to several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manufacturing of compounds is extremely susceptible to product loss due to contamination, equipment failure, improper installation or operation of equipment, and vendor or operator error.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such manufacturing facilities may need to be closed for an extended period of time to investigate and remedy the contamination.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manufacturing facilities in which our products are made could be adversely affected by equipment failures, labor shortages, natural disasters, power failures, or numerous other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contract manufacturers must comply with the cGMP regulations and guidelines. We and our contract manufacturers may encounter difficulties in achieving quality control and quality assurance and may experience shortages in qualified personnel. We and our contract manufacturers are subject to inspections by the FDA and comparable agencies in other jurisdictions to confirm compliance with applicable regulatory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failure to follow cGMP or other regulatory requirements or any delay, interruption, or other issues that arise in the manufacture, fill-finish, packaging, or storage of our products as a result of a failure of our facilities or the facilities or operations of third parties to comply with regulatory requirements or pass any regulatory authority inspection could significantly impair our ability to develop and commercialize our products, including leading to significant delays in the availability of products for our clinical trials, the termination or hold on a clinical trial, or the delay or prevention of a filing or approval of marketing applications for our product candidates. Our reliance on third-party manufacturing facilities located outside the United States exposes us to significant regulatory and operational risks. The FDA has recently expanded its use of unannounced inspections of foreign manufacturing sites, and any failure by these facilities to comply with applicable cGMP or inspection requirements could result in product shipment delays, warning letters, import restrictions, or the loss of manufacturing authorization. In addition, ongoing political pressures to strengthen oversight of foreign drug and medical supply chains may lead to stricter enforcement and increased inspection frequency. Furthermore, the current presidential administration has issued executive orders aimed at encouraging the return of pharmaceutical manufacturing to the United States, which could result in additional FDA scrutiny of foreign facilities and create further operational uncertainty for overseas manufacturers. These developments could disrupt our supply chain, increase costs, and adversely affect our ability to manufacture and distribute products on time and in compliance with U.S. regulatory standards.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2025, the FDA notified us that it had conducted a cGMP inspection of our third-party manufacturer of reproxalap and conveyed deficiencies to the third-party manufacturer in a Form 483 letter. The third-party manufacturer developed a remediation plan and subsequently submitted the plan and progress updates to the FDA. The FDA notified the third-party manufacturer that the inspection classification of the facility was a voluntary action indicated (VAI), that the inspection has been closed, and that no further action is necessary at this time. The FDA inspection closure letter stated that an inspection classification of VAI will not negatively impact FDA's assessment of any pending marketing applications referencing the facility. Future noncompliance could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or impair our ability to develop and commercialize our products. If we are not able to maintain regulatory compliance, we may not be permitted to market our products and/or may be subject to product recalls, seizures, injunctions, or criminal prosecution.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conduct clinical trials, we will need to manufacture product candidates in large quantities. Quality issues may arise during scale-up activities. Our reliance on a limited number of Contract Manufacturing Organizations (CMOs), as well as the complexity of drug manufacturing and the difficulty of scaling a manufacturing process, could cause the delay of clinical trials, regulatory submissions, required approvals, or commercialization of our product candidates, and cause us to incur higher costs and prevent us from commercializing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product candidate may be delayed or infeasible, and regulatory approval or commercial launch of any resulting product may be delayed or not obtained, which could significantly harm our business. In addition, failure of CMOs to comply with regulatory and quality requirements could delay manufacturing or the review of our marketing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adverse developments affecting manufacturing operations for our products, including public health epidemics or pandemics or responses taken thereto, may result in shipment delays; inventory shortages; lot failures; product withdrawals, recalls, approvals; or other interruptions in the supply of our products. We may also have to account for inventory write-offs and incur other charges and expenses for products that fail to meet specifications, undertake costly remediation efforts, or seek more costly manufacturing alternatives.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Issues with product quality could have a material adverse effect upon our business, subject us to regulatory actions and cause a loss of customer confidence in us or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upon the quality of our products. Quality controls, assurance, and management plays an essential role in meeting customer requirements, preventing defects, improving our product candidates and services, and assuring the safety and efficacy of our product candidates. Our future success depends on our ability to maintain and continuously improve our quality management program. A quality or safety issue may result in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in an effective and timely manner may also cause negative publicity and a loss of customer confidence in us or our future products, which may result in difficulty in successfully launching product candidates, and the loss of sales, which could have a material adverse effect on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competitors develop treatments for the target indications of our product candidates that are approved more quickly than ours, marketed more successfully, or demonstrated to be safer or more effective than our product candidates, our commercial opportunity will be reduced or eliminated.</w:t>
      </w:r>
    </w:p>
    <w:p>
      <w:pPr>
        <w:pStyle w:val="TextBody"/>
        <w:bidi w:val="0"/>
        <w:spacing w:before="120" w:after="283"/>
        <w:jc w:val="left"/>
        <w:rPr>
          <w:rFonts w:ascii="Times New Roman" w:hAnsi="Times New Roman"/>
          <w:sz w:val="20"/>
        </w:rPr>
      </w:pPr>
      <w:r>
        <w:rPr>
          <w:rFonts w:ascii="Times New Roman" w:hAnsi="Times New Roman"/>
          <w:color w:val="000000"/>
          <w:sz w:val="20"/>
        </w:rPr>
        <w:t>We operate in highly competitive segments of the biotechnology market. We face competition from many different sources, including commercial pharmaceutical and biotechnology enterprises, academic institutions, government agencies, and private and public research institutions. Our product candidates, if successfully developed and approved, will compete with established therapies (including generic and over-the-counter drugs) as well as with new treatments that may be introduced by our competitors. With the exception of primary vitreoretinal lymphoma and retinitis pigmentosa, there are a variety of approved drugs and drug candidates in development for the indications that we intend to test. Current pharmaceutical treatments that are used in the United States for dry eye disease include over-the-counter artificial tears, Restasis</w:t>
      </w:r>
      <w:r>
        <w:rPr>
          <w:rFonts w:ascii="Times New Roman" w:hAnsi="Times New Roman"/>
          <w:color w:val="000000"/>
          <w:sz w:val="13"/>
        </w:rPr>
        <w:t>®</w:t>
      </w:r>
      <w:r>
        <w:rPr>
          <w:rFonts w:ascii="Times New Roman" w:hAnsi="Times New Roman"/>
          <w:color w:val="000000"/>
          <w:sz w:val="20"/>
        </w:rPr>
        <w:t>, Xiidra</w:t>
      </w:r>
      <w:r>
        <w:rPr>
          <w:rFonts w:ascii="Times New Roman" w:hAnsi="Times New Roman"/>
          <w:color w:val="000000"/>
          <w:sz w:val="13"/>
        </w:rPr>
        <w:t>®</w:t>
      </w:r>
      <w:r>
        <w:rPr>
          <w:rFonts w:ascii="Times New Roman" w:hAnsi="Times New Roman"/>
          <w:color w:val="000000"/>
          <w:sz w:val="20"/>
        </w:rPr>
        <w:t>, Cequa</w:t>
      </w:r>
      <w:r>
        <w:rPr>
          <w:rFonts w:ascii="Times New Roman" w:hAnsi="Times New Roman"/>
          <w:color w:val="000000"/>
          <w:sz w:val="13"/>
        </w:rPr>
        <w:t>®</w:t>
      </w:r>
      <w:r>
        <w:rPr>
          <w:rFonts w:ascii="Times New Roman" w:hAnsi="Times New Roman"/>
          <w:color w:val="000000"/>
          <w:sz w:val="20"/>
        </w:rPr>
        <w:t>, Eysuvis</w:t>
      </w:r>
      <w:r>
        <w:rPr>
          <w:rFonts w:ascii="Times New Roman" w:hAnsi="Times New Roman"/>
          <w:color w:val="000000"/>
          <w:sz w:val="13"/>
        </w:rPr>
        <w:t>®</w:t>
      </w:r>
      <w:r>
        <w:rPr>
          <w:rFonts w:ascii="Times New Roman" w:hAnsi="Times New Roman"/>
          <w:color w:val="000000"/>
          <w:sz w:val="20"/>
        </w:rPr>
        <w:t>, Tyrvaya</w:t>
      </w:r>
      <w:r>
        <w:rPr>
          <w:rFonts w:ascii="Times New Roman" w:hAnsi="Times New Roman"/>
          <w:color w:val="000000"/>
          <w:sz w:val="13"/>
        </w:rPr>
        <w:t>®</w:t>
      </w:r>
      <w:r>
        <w:rPr>
          <w:rFonts w:ascii="Times New Roman" w:hAnsi="Times New Roman"/>
          <w:color w:val="000000"/>
          <w:sz w:val="20"/>
        </w:rPr>
        <w:t>, Miebo</w:t>
      </w:r>
      <w:r>
        <w:rPr>
          <w:rFonts w:ascii="Times New Roman" w:hAnsi="Times New Roman"/>
          <w:color w:val="000000"/>
          <w:sz w:val="13"/>
        </w:rPr>
        <w:t>®</w:t>
      </w:r>
      <w:r>
        <w:rPr>
          <w:rFonts w:ascii="Times New Roman" w:hAnsi="Times New Roman"/>
          <w:color w:val="000000"/>
          <w:sz w:val="20"/>
        </w:rPr>
        <w:t>, Vevye</w:t>
      </w:r>
      <w:r>
        <w:rPr>
          <w:rFonts w:ascii="Times New Roman" w:hAnsi="Times New Roman"/>
          <w:color w:val="000000"/>
          <w:sz w:val="13"/>
        </w:rPr>
        <w:t>®</w:t>
      </w:r>
      <w:r>
        <w:rPr>
          <w:rFonts w:ascii="Times New Roman" w:hAnsi="Times New Roman"/>
          <w:color w:val="000000"/>
          <w:sz w:val="20"/>
        </w:rPr>
        <w:t>, and Tryptyr</w:t>
      </w:r>
      <w:r>
        <w:rPr>
          <w:rFonts w:ascii="Times New Roman" w:hAnsi="Times New Roman"/>
          <w:color w:val="000000"/>
          <w:sz w:val="13"/>
        </w:rPr>
        <w:t>®</w:t>
      </w:r>
      <w:r>
        <w:rPr>
          <w:rFonts w:ascii="Times New Roman" w:hAnsi="Times New Roman"/>
          <w:color w:val="000000"/>
          <w:sz w:val="20"/>
        </w:rPr>
        <w:t>. In February 2022, the FDA approved the first generic version of Restasis</w:t>
      </w:r>
      <w:r>
        <w:rPr>
          <w:rFonts w:ascii="Times New Roman" w:hAnsi="Times New Roman"/>
          <w:color w:val="000000"/>
          <w:sz w:val="13"/>
        </w:rPr>
        <w:t>®</w:t>
      </w:r>
      <w:r>
        <w:rPr>
          <w:rFonts w:ascii="Times New Roman" w:hAnsi="Times New Roman"/>
          <w:color w:val="000000"/>
          <w:sz w:val="20"/>
        </w:rPr>
        <w:t>, which is now available for sale in the U.S. Many of our competitors have significantly greater financial, product candidate development, manufacturing, and marketing resources than we do. Large pharmaceutical and biotechnology companies have extensive experience in clinical testing and obtaining regulatory approval for drugs. In addition, universities and private and public research institutes could be in direct competition with us. We also may compete with these organizations to recruit management, scientists, and commercial and clinical development personnel. We will also face competition from these third parties in establishing clinical trial sites, registering subjects for clinical trials, and identifying and in-licensing new product candidates. Smaller or early-stage companies may also prove to be significant competitors, particularly through collaborative arrangements with large and established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developments, including the development of other pharmaceutical technologies and methods of treating disease, occur in the pharmaceutical and life sciences industries at a rapid pace. Developments by competitors may render our product candidates obsolete or noncompetitive. Other parties may discover and patent treatment approaches and compositions that are similar to or different from ours. Competition in drug development is intense. We anticipate that we will face intense and increasing competition as new treatments enter the market and advanced technologies become available.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depends on our or our partners’ ability to demonstrate and maintain a competitive advantage with respect to the design, development, and commercialization of reproxalap or our other product candidates. Immune-mediated diseases may be treated with a variety drugs, some of which are generic. Our potential competitors may be developing novel therapies that may be safer or more effective than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enter into agreements with third parties to market, sell, and distribute our product candidates, we may be unable to generate any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experience as a Company in the sale, marketing, or distribution of biopharmaceutical products. Although we currently plan to commercialize reproxalap through a collaboration with a third party, if reproxalap or any of our other product candidates ultimately receives regulatory approval and we remain responsible for the commercialization of such approved product, we may not be able to effectively market and distribute the product candidate. We will have to invest significant amounts of financial and management resources to develop and maintain internal sales, distribution, and marketing capabilities, some of which will be committed prior to any confirmation that the applicable product candidates will be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entering into arrangements with third parties to market and sell our product candidates or may be unable to do so on terms that are acceptable to us. Any third party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FDA or comparable foreign regulatory authorities approve generic versions of any of our product candidates that receive marketing approval, or such authorities do not grant our product candidates appropriate periods of data or market exclusivity before approving generic versions of our product candidates, the sales of our product candidates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drug products at lower prices. Thus, following the introduction of a generic drug, a significant percentage of the sales of any branded product or reference-listed drug is typically lost to the generic drug.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product candidate where the applicant does not own or have a legal right of reference to all the data required for approval. However, an application may be submitted after four years if it contains a certification of patent invalidity, enforceability or non-infringement. The FDCA also provides three years of marketing exclusivity for a 505(b)(1) NDA, 505(b)(2) NDA or supplement to an approved NDA if new clinical investigations other than bioavailability studies (e.g., investigations that support new indications, dosages, or strengths of an existing drug) were conducted or sponsored by the applicant and are deemed by the FDA to be essential to the approval of the application. The three-year exclusivity covers only the conditions associated with the new clinical investigations and does not prohibit the FDA from approving competitor products for product candidates containing the original active agent for other conditions of use. Five-year and three-year exclusivity will not delay the submission or approval of a full 505(b)(1) NDA. Manufacturers may seek to launch these generic drugs following the expiration of the marketing exclusivity period, even if we still have patent protection for our drug.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and the UK, innovative medicinal products are authorized based on a full marketing authorization application (as opposed to an application for marketing authorization that relies on data in the marketing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authorization dossier for another, previously approved medicinal product). Applications for marketing authorization for innovative medicinal products must contain the results of pharmaceutical tests, preclinical tests, and clinical trials conducted with the medicinal product for which marketing authorization is sought (and where applicable the result of the pediatric studies unless a waiver or a deferral has been obtained - as described further below). In the EU, these applications must be made pursuant to either Directive 2001/83/EC (for the decentralized procedure or the mutual recognition procedure) or Regulation 726/2004 (for the centralized procedure). In the UK, there are various procedures available under the new regulatory legal framework to pharmaceutical products, including the possibility of a recognized assessment conducted by the European authorities under certain circumstance or by applying directly to the UK regulatory authority (MHRA).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European Economic Area (EEA)). During the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marketing authorization application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marketing authorization application based on a full self-standing scientific data package supporting the application. The period of regulatory data protection and marketing protection applies in the UK (running from the date of the first authorization in Great Britain).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pursuant to Regulation 1901/2006, and in the UK pursuant to the Human Medicines Regulations 2012 (as amended), marketing authorization applications must include pediatric data based on pediatric investigation plans agreed with the EMA if the MAA concerns (i) a new active substance, or (ii) a new indication, pharmacological form, or route of administration (where the product is protected by a supplementary protection certificate or a patent qualifying for a supplementary certificate).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supplementary protection certificate may be entitled to a six-month extension to the supplementary protection certificate.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obtain orphan designation in the EEA, the product must fulfill certain challenging criteria. Under Article 3 of Regulation (EC) 141/2000, a medicinal product may be designated as an orphan medicinal product if it meets the following criteria: (1) is intended for the diagnosis, prevention or treatment of a life-threatening or chronically debilitating condition; and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Products receiving orphan designation in the EU may receive 10 years of orphan market exclusivity, which can be further extended by two years if pediatric studies have been conducted in accordance with an agreed pediatric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investigational plan. Applications must first satisfy the orphan designation criteria and apply for orphan designation before making the application for marketing authorization. The applicant must then successfully maintain the orphan designation at the time of the marketing authorization application in order to qualify for 10 years of orphan market exclusivity. During this 10-year period, the competent authorities of the EU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w:t>
        <w:noBreakHyphen/>
        <w:t>label" for the orphan therapeutic indication by healthcare professions in some EU Member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also three exceptions to the orphan market exclusivity principle. Marketing authorization may be granted to a similar medicinal product for the same orphan therapeutic indication if: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second applicant can establish in its application that its medicinal product, although similar to the orphan medicinal product already authorized, is safer, more effective, or otherwise clinically superior;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holder of the marketing authorization for the original orphan medicinal product consents to a second orphan medicinal product application;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holder of the marketing authorization for the original orphan medicinal product cannot supply sufficient quantities of orphan medicinal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orphan product can also obtain an additional two years of orphan market exclusivity in the EU if the marketing authorization application contains the results of all pediatric studies conducted in accordance with and agreed pediatric investigation plan. The 10-year market exclusivity may be reduced to six years if, at the end of the fifth year, it is established that the product no longer meets the criteria for orphan designation (e.g., the product is sufficiently profitable not to justify maintenance of market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UK’s regulatory legal framework provides for similar periods of protection, namely regulatory data protection, marketing protection and market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important to note that the regulatory protection afforded to medicinal product such as data exclusivity, marketing protection, market exclusivity for orphan indications, and pediatric extension are currently under review at EU level. It is expected that the protection currently afforded in the EU will be reduced in the years to 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that our product candidates may face from generic versions of our product candidates could materially and adversely impact our future revenue, profitability, and cash flows and could substantially limit our ability to obtain a return on the investments we have made in those product candidates. Our future revenue, profitability, and cash flows could also be materially and adversely affected and our ability to obtain a return on the investments we have made in those product candidates may be substantially limited if our product candidates, if and when approved, are not afforded the appropriate periods of non-patent exclusivity.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FDA’s ability to review and approve new products may be hindered by a variety of factors, including budget and funding levels; government shutdowns; ability to hire and retain key personnel; and statutory, regulatory, and policy changes.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budget and funding levels; ability to hire and retain key personnel; shifting policy priorities as a result of changes in the U.S. presidential administration and political appointees tasked to oversee the agency;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pStyle w:val="TextBody"/>
        <w:bidi w:val="0"/>
        <w:spacing w:before="120" w:after="283"/>
        <w:jc w:val="left"/>
        <w:rPr>
          <w:rFonts w:ascii="Times New Roman" w:hAnsi="Times New Roman"/>
          <w:sz w:val="20"/>
        </w:rPr>
      </w:pPr>
      <w:r>
        <w:rPr>
          <w:rFonts w:ascii="Times New Roman" w:hAnsi="Times New Roman"/>
          <w:color w:val="000000"/>
          <w:sz w:val="20"/>
        </w:rPr>
        <w:t>In December 2016, the 21</w:t>
      </w:r>
      <w:r>
        <w:rPr>
          <w:rFonts w:ascii="Times New Roman" w:hAnsi="Times New Roman"/>
          <w:color w:val="000000"/>
          <w:sz w:val="13"/>
        </w:rPr>
        <w:t>st</w:t>
      </w:r>
      <w:r>
        <w:rPr>
          <w:rFonts w:ascii="Times New Roman" w:hAnsi="Times New Roman"/>
          <w:color w:val="000000"/>
          <w:sz w:val="20"/>
        </w:rPr>
        <w:t xml:space="preserve"> Century Cures Act was signed into law, and was designed to advance medical innovation and empower the FDA with the authority to directly hire positions related to drug and device development and review. In the past, the FDA was often unable to offer key leadership candidates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scientists) competitive compensation packages as compared to those offered by private industry. The 21</w:t>
      </w:r>
      <w:r>
        <w:rPr>
          <w:rFonts w:ascii="Times New Roman" w:hAnsi="Times New Roman"/>
          <w:color w:val="000000"/>
          <w:sz w:val="13"/>
        </w:rPr>
        <w:t>st</w:t>
      </w:r>
      <w:r>
        <w:rPr>
          <w:rFonts w:ascii="Times New Roman" w:hAnsi="Times New Roman"/>
          <w:color w:val="000000"/>
          <w:sz w:val="20"/>
        </w:rPr>
        <w:t xml:space="preserve"> Century Cures Act was designed to streamline the agency’s hiring process and enable the FDA to compete for leadership talent by expanding the narrow ranges that are provided in the existing compensation structures.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governmental agencies may also slow the time necessary for new drugs to be reviewed and/or approved by necessary government agencies, which would adversely affect our operating results and business. For example, over the last several years, the U.S. government has shut down several times, and certain regulatory agencies, such as the FDA and the SEC, have had to furlough critical employees from the FDA, SEC, and other government offices, halting critical activities. If a prolonged government shutdown occurs, it could significantly impact the ability of the FDA and other governmental agencies to review and process our regulatory submissions in a timely manner, which could have a material adverse effect on our business. For example, the U.S. federal government was shut down from October 1, 2025 until November 12, 2025. During the shutdown, the FDA operated on a reduced basis with many non-essential functions suspended. While reviews tied to already paid user fees continued, companies may have experienced slower communications and selective deferrals. A government shutdown may prevent the FDA from conducting their regular inspections, reviews or other regulatory activities, and could significantly impact the ability of the FDA to timely review and process our regulatory submissions by the applicable PDUFA date, which could have a material adverse impact on our business. Furthermore, in our operations as a public company, government shutdowns could impact our ability to access the public markets and obtain necessary capital in order to properly capitalize and continue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remains general uncertainty regarding future activities. New executive orders, regulations, policies, or guidance could be issued or promulgated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there could be a material adverse effect on us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new initiatives, the policies of the FDA or other regulatory authorities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judicial, administrative, or executive action, either in the United States or abroad.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uncertainty regarding potential regulatory developments that may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uncertainty regarding the potential for changes in the regulatory environment following the change in presidential administration in January 2025. While many of the Trump administration's proposed policies appear to be focused on deregulation, the new administration and federal government could adopt legislation, regulation, or policy that adversely affects our business or creates a more challenging and costly environment to pursue the development and commercialization of our product candidates. For example, the federal government, including the HHS, and the FDA, may implement legislative, regulatory, or policy changes regarding the standards for approving new product candidates. Additionally, because one objective of the current Trump administration is to decrease spending in the federal government, there have been FDA staff reductions, which could impact the FDA's ability to engage in routine regulatory and oversight activities and result in delays or limitations on our ability to proceed with clinical development programs and obtain regulatory approvals. It is difficult to predict how executive actions that may be taken under the current Trump administration may affect the FDA's ability to exercise its regulatory authority. If such executive actions impose constraints on the FDA's ability to engage in routine oversight and product review activities in the normal course, our business may be negatively impacted.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Failure to obtain regulatory approval in foreign jurisdictions would prevent us from marketing and commercializing our products abroad and may limit our ability to generate revenue from 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market and commercialize our product candidates internationally. To market and sell our product candidates in jurisdictions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product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UK's exit from the EU continues to create political and economic uncertainty, particularly in the UK and the EU. The UK is now being treated as a "third country" by the EU and new UK legislation has taken effect. This means that some regulatory activities, such as batch testing and Qualified Person certification conducted in Great Britain is no longer recognized in the EU.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to the regulation of medicines (although divergence has appeared in some areas). However, some changes to the UK legislation have been immediately necessary, including the implementation of the Northern Ireland Protocol (NIP), pursuant to which, the EU pharmaceutical legal framework acquis continues to apply in Northern Ireland (subject to periodic consent of the Northern Ireland Legislative Assembly), and only products compliant with EU law can be placed in the Northern Ireland market - adding an extra layer of regulatory complexity. As companies now need to comply with a separate UK regulatory legal framework in order to commercialize medicinal products in Great Britain (namely, England, Wales and Scotland, as EU law continues to apply in Northern Ireland). The UK government is currently trying to renegotiate fundamental aspects of the NIP so this is an unpredictable area for companies in the near future. The TCA allows for future deviation from the current regulatory framework and it is not known if and/or when any deviations may occur, which may have an impact on development, manufacture, 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below). If we fail to comply with the regulatory requirements in international markets and thus receive applicable marketing approvals, our target market will be reduced,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Financial Position and Capital Requirements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incurred significant operating losses since inception, and we expect to incur significant losses over the next several years. We may never become profitable or, if achieved, be able to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operating losses since we were founded in 2004 and expect to incur significant losses for the next several years as we continue our clinical trial, development programs, and commercial activities for reproxalap and our other product candidates. Net loss for the six months ended June 30, 2026 and 2025 was approximately $8.9 million and $19.7 million, respectively. As of June 30, 2026, we had total stockholders’ equity of $37.9 million and an accumulated deficit of $492.9 million. Losses have resulted principally from costs incurred in our clinical trials and research and development programs, and from general and administrative expenses. In the future, we intend to continue to conduct research and development, clinical testing, regulatory compliance activities, pre-commercial activities, and, if reproxalap or any of our other product candidates is approved and we do not enter into collaboration agreements with third parties, commercialization efforts, including sales and marketing activities, that, together with anticipated general and administrative expenses, will likely result in our incurring further significant losses for the next several years. Our net losses may fluctuate significantly from quarter to quarter and year to year.</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We anticipate that our expenses will increase substantially as compared to prior periods as we prepare for commercializing of reproxalap alone or with others, if approved, and continue development of ADX</w:t>
        <w:noBreakHyphen/>
        <w:t>2191, ADX</w:t>
        <w:noBreakHyphen/>
        <w:t>248, ADX</w:t>
        <w:noBreakHyphen/>
        <w:t>246, and other product candidates, and as a result of increased headcount, including management personnel to support our clinical, manufacturing, and commercialization activities, expanded infrastructure, increased legal, compliance, accounting and investor and public relations expenses associated with being a public company, and increased insurance premiums, among other factors. We have in the past entered and may in the future enter into licensing and funding arrangements with third parties that may impose milestone payment, royalty, insurance, or other obligations on us.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expenses will also increase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marketing approval for reproxalap and establish our sales, marketing and distribution capabilities for reproxalap in advance of and upon any such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unable to enter into a collaboration agreement with a suitable third party on acceptable terms for the commercialization of reproxalap;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any necessary clinical trials and other development activities and/or seek marketing approvals for ADX</w:t>
        <w:noBreakHyphen/>
        <w:t>2191, ADX</w:t>
        <w:noBreakHyphen/>
        <w:t>248, ADX</w:t>
        <w:noBreakHyphen/>
        <w:t>246, or any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the clinical development of reproxalap for the treatment of other additional indications or for use in other patient populations or, if approved, seek to broaden the label of reproxalap;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scale up our manufacturing processes and capabilities to support commercialization of reproxalap and any of our other product candidates for which we seek and/or obtain marketing approval and for which we remain responsible for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leverage our RASP-modulator discovery platform to advance additional therapeutics into preclinical and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w:t>
        <w:noBreakHyphen/>
        <w:t>license or acquire the rights to other products, product candidates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clinical, quality control, scientific, manufacturing, commercial, and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operational, financial and management systems and increase personnel, including personnel to support our clinical development, manufacturing, and commercialization efforts, and our operations as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our product liability insurance coverage as we initiate and expand our commercialization efforts;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sales, marketing and distribution capabilities for our other product candidates, prior to or upon receiving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pharmaceutical product development, we are unable to accurately predict the timing or amount of increased expenses or when, or if, we will be able to achieve profitability. Our expenses will increase from what we anticipate if: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by the FDA or non</w:t>
        <w:noBreakHyphen/>
        <w:t>U.S. regulatory agencies to perform clinical trials or studies in addition to those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any delays in enrollment of patients in or completing our clinical trials or the development of our product candidates;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any third</w:t>
        <w:noBreakHyphen/>
        <w:t>party challenges to our intellectual property portfolio, or the need arises to defend against intellectual property</w:t>
        <w:noBreakHyphen/>
        <w:t>related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become and remain profitable depends on our ability to generate revenue. We currently generate no revenue from sales, and we may never be able to commercialize reproxalap or our other product candidates. We do not currently have the required approvals to market any of our product candidates and we may never receive them. We do not expect to generate revenue from sales of our product candidates that is sufficient to achieve profitability, excluding any upfront licensing fees we may receive, unless and until we obtain marketing approval for and commercialize one or more of our product candidates. We do not expect to commercialize reproxalap alone or with others or any of our other product candidates before further discussions with the FDA, if ever. Achieving profitability will require us or our partners, if any, to be successful in a range of challenging activities,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marketing approval for reproxalap or any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at commercial scale, marketing, selling, and distributing those products for which we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entering into a collaboration agreement with a suitable third party on acceptable terms for the commercialization of reproxalap;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hiring and building a full commercial organization required for the marketing, selling, and distributing for those products which we obtain marketing approval and for which we are responsible for commercializing;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achieving an adequate level of market acceptance of and obtaining and maintaining coverage and adequate reimbursement from third</w:t>
        <w:noBreakHyphen/>
        <w:t>party payors for any products we commercialize;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and protecting our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never succeed in these activities and may never generate revenue that is sufficient to achieve profitability. Because of the numerous risks and uncertainties associated with developing and commercializing our product candidates, we are unable to predict the extent of any future losses or when we will become profitable, if at all.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research and development efforts, diversify our product offerings, or continue our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will require substantial additional financing, and a failure to obtain the necessary capital when needed on acceptable terms, or at all, could force us to delay, limit, reduce or terminate our product development, other operations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biopharmaceutical products is capital intensive. We expect to devote substantial financial resources to our ongoing and planned activities, particularly as we seek marketing approval and prepare for commercialization of reproxalap alone or with others, and continue the development of our product candidates through preclinical and clinical development, including multiple ongoing and planned clinical trials for our product candidates. We expect our expenses to increase in connection with our ongoing activities, particularly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prepare for commercializing reproxalap, if approved, alone or with others, and we continue the research and development of, and, if successful, seek marketing approval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plan to commercialize reproxalap through a collaboration with a third party. If we do obtain marketing approval for reproxalap and are not able to establish a suitable collaboration for the commercialization of reproxalap, or any other product candidate that we develop, we expect to incur significant additional commercialization expenses related to product sales, marketing, distribution and manufacturing. We may also need to raise additional funds sooner if we choose to pursue additional indications for our product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on attractive terms, if at all, we will be forced to delay, reduce, or eliminate certain of our clinical development plans, research and development programs, or future commercialization efforts. In addition, there can be no assurance that we will be able to obtain such financing on commercially reasonable terms or at all. The development process for our product candidates is highly uncertain, and we cannot estimate with certainty the actual amounts necessary to successfully complete the development, regulatory approval, and commercialization of our product candidates for which we are responsible for commercialization. Our operating plans may change as a result of many factors currently unknown to us, and we may need to seek additional funds sooner than expected, through public or private equity, debt financings, or other sources. The amount and timing of any expenditure needed to implement our development and commercialization programs will depend on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reproxalap, including any additional trials the FDA or other regulatory agencies may require for approval or label expansion;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costs, and results of any clinical activities for regulatory review of reproxalap outside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exercise, if any, of the AbbVie Option;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process development and manufacturing scale</w:t>
        <w:noBreakHyphen/>
        <w:t>up activities associated with reproxalap;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commercialization activities for reproxalap if we receive marketing approval and if we are unable to enter into a collaboration agreement with a suitable third party on acceptable terms for the commercialization of reproxalap, and pre</w:t>
        <w:noBreakHyphen/>
        <w:t>commercialization costs for reproxalap or any other product candidates incurred prior to receiving any such marketing approval, including the costs and timing of establishing product sales, marketing, distribution, and outsourced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assuming receipt of marketing approval, the amount of revenue received from commercial sales of reproxalap or any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establishing collaborations, license agreements, and other partnerships on terms favorable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type, number, scope, progress, expansion costs, results, and timing of our clinical trials of any product candidates that we are pursuing or may choose to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any other product candidates that we may develop, in-license, or acquire, including potential milestone or royalty payments;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obtaining, maintaining, and enforcing our patents and other intellectual property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these factors are outside of our control. Our existing capital resources are not sufficient to enable us to fund the commercialization of reproxalap and completion of our clinical trials and remaining development through commercial introduction for our product candidates. We expect that we will need to raise substantial additional funds in the near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sold any products, and we do not expect to sell or derive revenue from any product sales for the foreseeable future. We may seek additional funding through collaboration agreements and public or private financings, including debt financings. The state of the global economy and market instability has made the business climate volatile and more costly. Uncertain economic conditions, uncertainty as to the general direction of the macroeconomic environment, and the price of our common stock, are beyond our control and may make any necessary debt or equity financing more difficult, more costly, and more dilutive. For example, the capital and credit markets may be adversely affected by the ongoing conflicts in Ukraine and Israel and the surrounding areas, the possibility of wider regional or global conflicts, and global sanctions imposed in response thereto. A severe or prolonged economic downturn, such as a global financial crisis, could affect our ability to raise additional capital. Additional funding may not be available to us on acceptable terms, or at all. In addition, the terms of any financing may adversely affect the holdings or the rights of our stockholders or be excessively dilutive. In addition, the issuance of additional shares by us, or the possibility of such issuance, may cause the market price of our shares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funding on a timely basis, we may be required to significantly curtail, delay, reduce or discontinue our establishment of sales and marketing capabilities or other activities that may be necessary to commercialize our product candidates or curtail, delay, or discontinue one or more of our preclinical studies, clinical trials or other research or development programs. We may also be unable to expand our operations or otherwise capitalize on our business opportunities, may need to restructure our organization, or may be required to relinquish rights to our product candidates or other technologies, or otherwise agree to terms unfavorable to us. Any of these occurrences could materially affect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quarterly operating results may fluctuate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operating results to be subject to quarterly fluctuations. Our net loss and other operating results will be affected by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affecting reproxalap and our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establishment and maintenance of a sales, marketing and distribution infrastructure and outsourced manufacturing capabilities to commercialize any product candidate for which we may obtain marketing approval and for which we remain responsible for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the level of expenses related to our clinical trial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 or termination of clinical trials or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intellectual property infringement lawsuit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exercise, if any, of the AbbVie Option;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and enter into a collaboration agreement with a suitable third party on acceptable terms for the commercialization of reproxalap;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execution of any collaborative, licensing, or similar arrangements, and the timing of payments we may make or receive under these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administrative, clinical, regulatory, and scientific personnel we engage;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nature and terms of stock-based compensation grants;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derivative instruments recorded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Raising additional capital may cause dilution to stockholders, restrict our operations, or require us to relinquish rights to its technologies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cash needs through a combination of equity offerings, debt financings, collaborations, strategic alliances, licensing arrangements, and marketing and distribution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its ability to take specific actions, such as incurring additional debt, making capital expenditures, or declaring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raise additional funds through collaborations,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product development or future commercialization efforts or grant rights to develop and market products or product candidates that we would otherwise prefer to develop and market on our own.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allocate our cash, cash equivalents, and marketable securities in ways that you or other stockholders may not approve.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has broad discretion in the application of our cash, cash equivalents, and marketable securities. Because of the number and variability of factors that will determine our use of our cash, cash equivalents, and marketable securities, the ultimate use of cash, cash equivalents, and marketable securities may vary substantially from the currently intended use. Our management might not apply our cash, cash equivalents, or marketable securities in ways that ultimately increase the value of your investment. We expect to use our cash, cash equivalents, and marketable securities to: fund our planned clinical trials of a number of product candidates; continue to fund the Reproxalap NDA resubmission and approval process for reproxalap, including conducting any additional clinical trials or other activities that the FDA may require for approval of reproxalap; develop other molecules that relate to immune-mediated disease; pursue regulatory approval for our product candidates; service our debt obligations; and provide working capital and capital for other general corporate purposes. The failure by our management to apply these funds effectively could harm our business. We may invest our cash, cash equivalents, or marketable securities in short-term investment-grade interest-bearing securities, which may not yield a favorable return to our stockholders. If we do not invest or apply our cash, cash equivalents, or marketable securities in ways that enhance stockholder value, we may fail to achieve expected financial results, which could cause our stock price to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raise capital through debt financing, the terms of any new debt could restrict our ability to operate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a party to a credit facility with Hercules Capital, Inc. until we fully repaid all outstanding obligations on April 1, 2026. If we raise any debt financing, the terms of such debt could restrict our operating and financial flexibility. Restrictions may include, among other things, limitations on borrowing and specific restrictions on the use of our assets, as well as prohibitions on our ability to create liens, pay dividends, redeem capital stock, or make investments. If we default under the terms of any future debt facility, the lender may accelerate all of our repayment obligations and take control of our pledged assets, potentially requiring us to renegotiate our agreement on terms less favorable to us or to immediately cease operations. Further, if we are liquidated, the lender’s right to repayment would be senior to the rights of the holders of our common stock. The lender could declare a default upon the occurrence of any event that they interpret as a material adverse effect as defined under the loan agreement. Any declaration by the lender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ability to use net operating loss carryforwards and tax credit carryforwards to offset future taxable income may be limited as a result of transactions involving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general, under Sections 382 and 383 of the Internal Revenue Code of 1986, as amended, a corporation that undergoes an “ownership change” is subject to limitations on its ability to utilize its pre-change net operating losses (NOLs) and certain other tax assets (tax attributes) to offset future taxable income or tax due. In general, an ownership change occurs if the aggregate stock ownership of certain stockholders increases by more than 50 percentage points over such stockholders’ lowest percentage ownership during the testing period (generally three years). Transactions involving our common stock within the testing period, even those outside our control, such as purchases or sales by investors, could result in an ownership change. A limitation on our ability to utilize some or all of our NOLs or credits could have a material adverse effect on our results of operations and cash flows. We believe, prior to December 31, 2021, that four ownership changes occurred since inception. Management believes that the aggregate Section 382 and 383 limitation (including the additional limitation for recognized "built-in gains") is sufficient so that no current impairment of pre-ownership change tax attributes is required. We believe there were no ownership changes from December 31, 2021 through June 30, 2026, based on a review of our equity history during that period. Any future ownership changes, including those resulting from our recent or future financing activities, may cause our existing tax attributes to have additional limitations. However, subject to annual limitations, Federal NOLs generated in years 2018 and beyond will have an indefinite carryforward period and will not expire. Future changes in federal and state tax laws pertaining to NOL carryforwards may also cause limitations or restrictions from us claiming such NOLs. If the NOL carryforwards become unavailable to us or are fully utilized, our future taxable income will not be shielded from federal and state income taxation absent certain U.S. federal and state tax credits, and the funds otherwise available for general corporate purposes would be reduced.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tax laws and the implementation of tax laws could adversely affect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laws that govern our taxation, including with respect to income and non-income taxes, are unsettled and may be subject to significant change. Changes in tax laws, regulations, or rulings, or changes in interpretations of existing laws and regulations, could materially adversely affect our company. For example, the Tax Cuts and Jobs Act (TCJA), the Coronavirus Aid, Relief, and Economic Security Act (CARES), and the IRA (as defined below) enacted a number of significant changes to the U.S. tax laws. Future guidance from the IRS and other tax authorities with respect to such legislation may affect us, and certain aspects thereof could be repealed or modified in future legislation. For example, the Internal Revenue Code tax capitalization rules enacted in 2022 required domestic research and development expenses to be capitalized and amortized over a 5-year period for tax purposes. However, The One Big Beautiful Bill Act (OBBB Act) features several tax reforms, including permitting taxpayers to permanently deduct domestic research and development expenses for amounts paid or incurred in tax years beginning after December 31, 2024. We are continuing to analyze the potential impact of the OBBB Act on our operations and financial condition. The OBBB Act did not materially impact our effective tax rate or cash flows in the current fiscal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our judgment in attempting to quantify and reserve for these tax obligations. However, a challenge by the IRS or another taxing authority, our ability to utilize tax benefits such as carryforwards or tax credits, or a deviation from other tax-related assumptions could have a material adverse effect on our business, results of operations or financial condition. In addition, new legislation or regulations which could affect our tax burden could be enacted by Congress or another governmental authority. We cannot predict the timing or extent of such tax-related developments which could have a negative impact on our financial position and results of operation.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Governments may impose price controls, which may adversely affect our future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seek approval to market our product candidates in both the United States and in foreign jurisdictions. If we obtain approval to market our product candidates in the United States, we will be subject to the Inflation Reduction Act of 2022 (IRA), which, among other things, will allow HHS to negotiate the selling price of certain drugs and biologics that Centers for Medicare &amp; Medicaid Services (CMS) reimburses under Medicare Part B and Part D. If we obtain approval in one or more foreign jurisdictions, we will be subject to rules and regulations in those jurisdictions relating to our product candidates. In some foreign countries, particularly in the EU, the pricing of prescription pharmaceuticals is subject to governmental control. In such countries, pricing negotiations with governmental authorities can take considerable time after the receipt of marketing approval for a product candidate. To obtain reimbursement or pricing approval in some countries, we, or our collaborators, may be required to conduct a clinical trial that compares the cost-effectiveness of our drug to other available therapies. Furthermore,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European countries, the authorities conduct a Health Technology Appraisal to assess the cost-effectiveness of the product, which may significantly impact effective access to the market. If reimbursement of our future products is unavailable or limited in scope or amount, or if pricing is set at unsatisfactory levels, we may be unable to achieve or sustain profitability.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Business disruptions could seriously harm our future revenue and financial condition and increase our costs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could be subject to business disruptions such as earthquakes, power shortages, telecommunications failures, water shortages, floods, hurricanes, typhoons, fires, extreme weather conditions, public health epidemics, regional or larger scale conflicts or geo-political actions, war or other military conflict (including an escalation of the conflicts in Ukraine and Israel and the surrounding areas), trade policies, sanctions, treaties and tariffs and other natural or man-made disasters or other business interruptions, for which we are predominantly self-insured. The occurrence of any of these business disruptions could seriously harm our operations and financial condition, and increase our costs and expenses. We rely on third-party manufacturers to produce reproxalap and our other product candidates. Our ability to obtain clinical and commercial supplies of reproxalap or our other product candidates could be disrupted, if the operations of suppliers are affected by business disruptions.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Global economic conditions may have an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instability or a general decline in economic conditions in the U.S. and other countries, caused by political instability, conflict, and economic challenges resulting from general health crises, has led to market disruptions, including significant volatility in commodity prices, credit and capital market instability, and supply chain interruptions. Such volatility, instability, and interruptions have contributed to record inflation globally and could adversely affect our operations. Increased inflation may result in higher operating costs (including labor costs), reduced liquidity, and limitations on our ability to access credit or raise capital on acceptable terms, if at all. Changes in trade laws or policies, particularly increased trade restrictions, tariffs, or taxes on imports from countries where we manufacture products, could have a material adverse effect on our business and financial results. For example, the U.S. government has made statements and taken certain actions that may lead to changes in U.S. and international trade policies towards China and other countries. What additional actions, if any, will be taken by the U.S. or other governments with respect to international trade agreements, the imposition of tariffs on goods imported into the United States, tax policy related to international commerce, or other trade matters is unclear. Any unfavorable government policies on international trade, such as capital controls or tariffs, or any countermeasures imposed in response thereto, may negatively affect the demand and competitive position of our product candidates, if approved for commercial sale, negatively affect our costs, or negatively impact our supply chain, among other potential negative impacts. If any new tariffs, legislation, and/or regulations are implemented, or if existing trade agreements are renegotiated, or in particular, if the U.S. government or other governments take retaliatory trade actions due to the recent trade tensions, including U.S.-China trade tensions, such changes could have an adverse effect on our business, financial condition, and results of operations. Consequently, we cannot assure that any strategies we implement to mitigate the effects of such tariffs or trade actions will be successful. In addition, the U.S. Federal Reserve has raised, and may continue to raise, interest rates in response to concerns about inflation. Inflation, combined with reduced government spending and volatility in financial markets, may further increase economic uncertainty and heighten associated risks. Economic conditions and uncertainty regarding the broader macroeconomic environment are beyond our control and may make obtaining necessary debt or equity financing more difficult, costly, and dilutive. While we believe we have adequate capital resources to meet current working capital and capital expenditure requirements, an economic downturn or a significant increase in expenses could necessitate additional financing under less favorable conditions, including unattractive interest rates or excessively dilutive terms for existing stockholders. Failure to secure necessary financing in a timely manner and on favorable terms could materially and adversely affect our stock price and force us to delay or abandon clinical development plans.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maintain our cash at financial institutions, often in balances that exceed federally insured limits. 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our cash is held in accounts at U.S. banking institutions that we believe are of high quality. Cash held in depository accounts may exceed the $250,000 Federal Deposit Insurance Corporation (FDIC) insurance limits. Actual events involving limited liquidity, defaults, non-performance, or other adverse developments that affect financial institutions or other companies in the financial services industry or the financial services industry generally, or concerns or rumors about related events, have in the past and may in the future lead to market-wide liquidity problems. A failure of a depository institution to return these deposits, or if a depository institution is subject to other adverse conditions in the financial or credit markets, could further impact access to our invested cash or cash equivalents and could adversely impact our operating liquidity and financial performance. Concerns regarding the U.S. or international financial systems, including bank failures and bailouts, and the potential broader effects and potential systemic risk on the banking sector generally, may adversely affect our access to capital. Any decline in available funding or access to our cash and liquidity resources could, among other risks, limit our ability to meet our capital needs and fund future growth or fulfill our other obligations, or result in breaches of our financial and/or contractual obligations. Any of such impacts, or any other impacts resulting from the factors described above or other related or similar factors not described above, could have material adverse impacts on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engage in an acquisition, reorganization, or business combination, we will incur a variety of risks that could adversely affect our business operations or our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have entered into, and we will continue to consider in the future, strategic business initiatives intended to further the development of our business. These initiatives may include acquiring businesses, technologies, or products, or entering into a business combination with another company. Any acquisitions we undertake will likely be accompanied by business risks that could harm our business, results of operations, or financial condition, and that may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the acquisition on our financial and strategic position and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an acquisition to result in expected benefits, which may include benefits relating to new product candidates, human resources, costs savings, operating efficiencies, goodwill, and other synergies;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difficulty, cost, and management effort required to integrate the acquired businesses, including costs and delays in implementing common systems and procedures, and costs and delays caused by communication difficulties;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 of certain known or unknown liabilities of the acquired business, including litigation-related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reduction of our cash available for operations and other uses, the increase in amortization expense related to identifiable assets acquired, potentially dilutive issuances of equity securities, or the incurrence of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possibility that we will pay more than the value we derive from the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impairment of relationships with our partners, consultants, or suppliers, or the relationships of acquired businesses;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loss of key employees of acquired businesses.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2019, we acquired Helio Vision, Inc. and obtained the rights to ADX</w:t>
        <w:noBreakHyphen/>
        <w:t>2191 for the treatment of proliferative vitreoretinopathy (the Helio Product Candidate). During the year ended December 31, 2024, we ceased development of the Helio Product Candidate for the prevention and/or treatment of proliferative vitreoretinopathy. As a result, subject to the terms and conditions of the Merger Agreement, the Helio Product Candidate and related intellectual property rights may revert to an entity designated by the representative of the former Helio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rely and will continue to rely on outsourcing arrangements for many of our activities, including clinical development, commercial readiness preparations, and supply of reproxalap and our other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only 6 full-time employees and, as a result, we rely, and expect to continue to rely, on outsourcing arrangements for a significant portion of our activities, including clinical research, data collection and analysis, manufacturing, commercial readiness preparations, financial reporting and accounting, and human resources, as well as for certain functions required of publicly traded companies. We may have limited control over third parties and we cannot guarantee that any third-party will perform its obligations in an effective and timely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during challenging and uncertain economic environments, in tight credit markets and during public health epidemics, and with the continued hostilities in Ukraine and Israel and the surrounding areas, there may be a disruption or delay in the performance of our third-party contractors, suppliers, or partners. If such third parties are unable to satisfy their commitments to us, our business and results of operations would be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rely on third parties to conduct our clinical trials. If any third-party does not meet our deadlines or otherwise conduct the trials as required and in accordance with regulations, our clinical development programs could be delayed or unsuccessful and we may not be able to obtain regulatory approval for or successfully commercialize our product candidates when expected,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the ability to conduct all aspects of our preclinical testing or clinical trials ourselves. We are dependent on third parties to conduct the clinical trials for our product candidates and, therefore, the timing of the initiation and completion of these trials is controlled by such third parties and may occur on substantially different timing from our estimates. Specifically, we use CROs to conduct our clinical trials and we also rely on medical institutions, clinical investigators, and consultants to conduct our trials in accordance with our clinical protocols and regulatory requirements. Our CROs, investigators, and other third parties play a significant role in the conduct of these trials and subsequent collection and analysis of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 guarantee that CROs, investigators, or other third parties on which we rely for administration and conduct of our clinical trials will devote adequate time and resources to such trials or perform as contractually required. If any third party fails to meet expected deadlines, fails to adhere to our clinical protocols, or otherwise performs in a substandard manner, our clinical trials may be extended, delayed, or terminated. If any of our clinical trial sites terminates for any reason, we may experience the loss of follow-up information on subjects enrolled in our ongoing clinical trials unless we are able to transfer those subjects to another qualified clinical trial site. In addition, principal investigators for our clinical trials may serve as scientific advisors or consultants to us from time to time, and may receive cash or equity compensation in connection with such services. Any worsening of the global business and economic environment may have the effect of heightening or exacerbating risks associated with third parties.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Some of our product candidates may be studied in clinical trials co-sponsored by organizations or agencies other than us, or in investigator-initiated clinical trials, which means we have minimal or no control over the conduct of such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anticipate that part of our strategy for pursuing the wide range of indications potentially addressed by our product candidates will involve investigator-initiated clinical trials. Investigator-initiated clinical trials pose similar risks as those set forth elsewhere in this “Risk Factor” section relating to our internal clinical trials. While investigator-initiated trials may provide us with clinical data that can inform our future development strategy, we generally have less control over the conduct and design of the trials. Because we are not the sponsors of investigator-initiated trials, we do not control the protocols, administration, or conduct of the trials, including follow-up with patients and ongoing collection of data after treatment. As a result, we are subject to risks associated with the way investigator-initiated trials are conducted. In particular, we may be named in lawsuits that would lead to increased costs associated with legal defense. Additional risks include difficulties or delays in communicating with investigators or administrators, procedural delays and other timing issues, and difficulties or differences in interpreting data. Third-party investigators may design clinical trials with clinical endpoints that are more difficult to achieve, or in other ways that increase the risk of negative clinical trial results compared to clinical trials that we may design on our own. Negative results in investigator-initiated clinical trials could have a material adverse effect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our prospects and the perception of our product candidates. As a result, our lack of control over the conduct and timing of, and communications with the FDA regarding, investigator-sponsored trials expose us to additional risks and uncertainties, many of which are outside our control, and the occurrence of which could adversely affect the commercial prospects for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rely completely on third parties to supply drug substance and manufacture drug product for our clinical trials and preclinical studies. We intend to rely on other third parties to produce commercial supplies of product candidates, and our dependence on third parties could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completely dependent on third-party suppliers of the drug substance and drug product for our product candidates. If third-party suppliers do not supply sufficient quantities of materials to us on a timely basis and in accordance with applicable specifications and other regulatory requirements, there could be a significant interruption of our supplies, which would adversely affect clinical development and commercialization. Furthermore, if any of our contract manufacturers cannot successfully manufacture material that conforms to our specifications within regulatory requirements, we will not be able to secure and/or maintain regulatory approval, if any,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rely on our contract manufacturers to purchase from third-party suppliers the materials necessary to produce our product candidates for our anticipated clinical trials. We do not have any control over the process or timing of the acquisition of raw materials by our contract manufacturers. Moreover, we currently do not have agreements in place for the commercial production of these raw materials. Any significant delay in the supply of a product candidate or the raw material components thereof for an ongoing clinical trial, including as a result of increased trade restrictions and tariffs, could considerably delay completion of that clinical trial, product candidate testing, and potential regulatory approval of that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expect to have the resources or capacity to commercially manufacture any of our proposed product candidates if approved and will likely continue to be dependent on third-party manufacturers. Our dependence on third parties to manufacture and supply clinical trial materials and any approved product candidates may adversely affect our ability to develop and commercialize our product candidates on a timely basis.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successful in establishing and maintaining development, commercial, or other strategic partnerships, which could adversely affect our ability to develop and commercialize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 the past chosen, and may in the future choose, to enter into development or other strategic partnerships, including collaborations with major biotechnology or pharmaceutical companies. For example, we currently plan to commercialize reproxalap through a collaboration with a third party. We face significant competition in seeking appropriate partners and the negotiation process is time consuming and complex. Moreover, we may not be successful in our efforts to establish other development partnerships or other alternative arrangements for any of our product candidates or programs because our research and development pipeline may be insufficient, our product candidates or programs may be deemed to be at too early a stage of development for collaborative effort, and/or third parties may not view our product candidates or programs as having the requisite commercial or technical potential. Even if we are successful in our efforts to establish development or commercial partnerships, the terms that we agree upon may not be favorable to us and we may not be able to maintain such partnerships if, for example, development or approval of a product candidate is delayed or sales of an approved product candidate are below expectations. Any delay in entering into development partnership agreements or collaborations related to our product candidates could delay the development and commercialization of our product candidates and reduce competitiveness,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if we fail to maintain partnerships related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and/or commercialization of certain of our current or future product candidates may be terminated or delayed;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expenditures related to development and commercialization of certain of our current or future product candidates would increase significantly and we may need to seek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hire additional employees or otherwise develop expertise, such as sales and marketing expertise, for which we have not budgeted;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bear all of the risk related to the development and commercialization of any such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realize the benefits of our current or future strategic alliances.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 the past, and may in the future, form strategic alliances, create joint ventures or collaborations, or enter into licensing arrangements with third parties that we believe will complement or augment our existing business, including the continued development or commercialization of reproxalap or our other product candidates. We currently plan to commercialize reproxalap through a collaboration with a third party. Research, development, regulatory and commercialization activities undertaken by our partners, if any, pose similar risks as those set forth elsewhere in this “Risk Factor” section relating to our research, development, regulatory and commercialization activities. Strategic alliances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reproxalap or our other product candidates because third parties may view the risk of development failure as too significant or the commercial opportunity for our product candidate as too limited. We cannot be certain that, following a strategic transaction or license, we will achieve the revenue or specific net income that justifies such transaction.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internal computer systems, or those of our development partners, third-party clinical research organizations, or other contractors or consultants, may fail or suffer security breaches, which could result in a material disruption of our product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the implementation of security measures, our internal computer systems and those of our current and any future CROs and other contractors, consultants, and collaborators are vulnerable to damage from computer viruses; unauthorized access; natural disasters; terrorism; war or other military conflict; including as a result of the continued hostilities in Ukraine and Israel and the surrounding areas; and telecommunication and electrical failures. While to our knowledge we have not experienced any such material system failure, accident, or security breach to date, such an event could cause interruptions in our operations, and could result in a material disruption of our development programs.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email and other messaging services in connection with our operations. We may be targeted by parties using fraudulent spoofing and phishing emails or artificial intelligence to misappropriate passwords, payment information, or other personal information, or to introduce viruses through Trojan horse programs or otherwise through our networks, computers, smartphones, tablets, or other devices. Despite our efforts to mitigate the effectiveness of such malicious actions through a variety of control and non-electronic checks, spoofing and phishing may damage our business and increase our costs. Security risks may be heightened as a result of remote working arrangements. In addition, due to the political uncertainty involving the continued hostilities in Ukraine and Israel and the surrounding areas, there is an increased likelihood that escalation of tensions could result in cyberattacks that could either directly or indirectly impact our operations. Any of these events or circumstances could materially adversely affect our business, financial condition, and operating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biopharmaceutical industry is subject to extensive regulatory obligations and policies that are subject to change, including due to judicial challenges.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the FDA and other agencies with significant oversight of the biopharmaceutical industry. The new framework is likely to increase both the frequency of such challenges and their odds of success by eliminating one way in which the government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previously prevailed in such cases. As a result, significant regulatory policies will be subject to increased litigation and judicial scrutiny. Any resulting changes in regulation may result in unexpected delays, increased costs, or other negative impacts on our business that are difficult to predict but could have a material adverse effect on our business and financial condition. For example, certain of these changes could impose additional limitations on the rates we will be able to charge for our future products or the amounts of reimbursement available for our future products from governmental agencies or third-party payors.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Relating to Our Intellectual Property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success depends on our and our licensors' ability to protect our intellectual property and our proprietary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obtain and maintain patent protection and trade secret protection for our product candidates, proprietary technologies, and the use of our product candidates or proprietary technologies as well as our ability to operate without infringing upon the proprietary rights of others. There can be no assurance that our patent applications or those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these product candidates could have a material adverse effect on our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Composition-of-matter patents on the active pharmaceutical ingredient are generally considered to be the strongest form of intellectual property protection for pharmaceutical products, as such patents provide protection without regard to any method of use. While we have issued composition-of-matter patents in the United States and other countries for reproxalap, and other product candidates, we cannot be certain that the claims in our patent applications covering composition-of-matter of early stage candidates will be considered patentable by the United States Patent and Trademark Office (USPTO) and courts in the United States or by the patent offices and courts in foreign countries, nor can we be certain that the claims in our issued composition-of-matter patents will not be found invalid or unenforceable if challenged. Method-of-use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competitive products off</w:t>
        <w:noBreakHyphen/>
        <w:t>label. Although off</w:t>
        <w:noBreakHyphen/>
        <w:t>label prescriptions may infringe or contribute to the infringement of method-of-use patents, the practice is common and such infringement is difficult to prevent or prosecute. In addition, there are possibly treatment compositions and methods that we have not conceived of or attempted to patent, and other parties may discover and patent approaches and compositions that are similar to or different from ours.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future development partners will be successful in protecting our product candidates by obtaining and defending patents. Intellectual property risks and uncertainties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may not result in any patents being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that may be issued or in-licensed may be challenged, invalidated, modified, revoked, circumvented, found to be unenforceable, or otherwise may not provide any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United States courts, allowing foreign competitors a better opportunity to create, develop, and market competing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rely on the protection of our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may come upon this or similar information independently. If any of these events occurs or if we otherwise lose protection for our trade secrets or proprietary know-how, the value of our trade secrets or proprietary know-how may be greatly reduced.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Claims by third parties that we infringe their proprietary rights may result in liability for damages or prevent or delay our developmental and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biotechnology industry has been characterized by frequent litigation regarding patent and other intellectual property rights. Because patent applications are maintained in secrecy until the application is published, we may be unaware of third-party patents that may be infringed by commercialization of reproxalap or our other product candidates. In addition, identification of third-party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 in costly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divert the time and attention of our technical personnel and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cause development or commercialization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prevent us from commercializing reproxalap or our other product candidates until the asserted patent expires or is held finally invalid or not infringed in a court of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develop non-infringing technology;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royalty or licensing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no third-party has asserted a claim of patent infringement against us, others may hold proprietary rights that could prevent reproxalap or our other product candidates from being marketed. Any patent-related legal action against us claiming damages and seeking to enjoin commercial activities relating to our product candidate or processes could subject us to potential liability for damages and require us to obtain a license to continue to manufacture or market reproxalap or our other product candidates. We cannot predict whether we would prevail in any such actions or that any license required under any of these patents would be made available on commercially acceptable terms, if at all. In addition, we cannot be sure that we could redesign our product candidate or processes to avoid infringement, if necessary. Accordingly, an adverse determination in a judicial or administrative proceeding, or the failure to obtain necessary licenses, could prevent us from developing and commercializing reproxalap or our other product candidates, which could harm our business, financial condition, and operating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issued patents could be found invalid or unenforceable if challenged in court.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any of our future development partners were to initiate legal proceedings against a third-party to enforce a patent covering one of our product candidates, or one of our future product candidates,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fail to comply with any of our obligations under existing or future agreements pursuant to which we license or acquire rights or technology, which could result in the loss of rights or technology that are material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party to technology licenses, including an in-license agreement for ADX</w:t>
        <w:noBreakHyphen/>
        <w:t>2191, and we may enter into additional licenses in the future. Such licenses do, and may in the future, impose commercial, contingent payment, royalty, insurance, indemnification, and other obligations on us. If we fail to comply with these obligations, the licensor may have the right to terminate the license, in which event we could lose valuable rights under our collaboration agreements and our ability to develop product candidates could be impaired. Additionally, should such a license agreement be terminated for any reason, there may be a limited number of replacement licensors, and a significant amount of time may be required to transition to a replacement licensor.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rights to develop and commercialize our in-license program are each subject in part to the terms and conditions of a third-party license, pursuant to which we have acquired exclusive rights and other intellectual property. Our rights with respect to the intellectual property to develop and commercialize the in-license program may terminate, in whole or in part, if we fail to meet certain milestones contained in each of our license agreements relating to their development and commercialization. We may also lose our rights to develop and commercialize either in-license agreement if we fail to pay required milestones or royalties. In the event of an early termination of our license agreement, all rights licensed and developed by us under this agreement may be extinguished, which may have an adverse effect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28, 2019, we acquired Helio and thereby acquired rights to develop ADX</w:t>
        <w:noBreakHyphen/>
        <w:t>2191 for the treatment of proliferative vitreoretinopathy (the Helio Product Candidate) pursuant to the Merger Agreement. We agreed to use commercially reasonably efforts to develop and obtain regulatory approval for the Helio Product Candidate. During the year ended December 31, 2024, we deprioritized and subsequently ceased development of the Helio Product Candidate for the prevention and/or treatment of proliferative vitreoretinopathy due to the requirement from the FDA to run clinical trials that we did not deem to be feasible. As a result of our ceasing development of the Helio Product Candidate for the treatment of proliferative vitreoretinopathy, subject to the terms and conditions of the Merger Agreement, our rights to develop the Helio Product Candidate and related intellectual property rights may revert to an entity designated by the representative of the former Helio stockholders.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claims that we have wrongfully hired an employee from a competitor or that we or our employees, consultants, or agents have wrongfully used or disclosed alleged confidential information or trade secrets of their former employers.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common in the biotechnology and pharmaceutical industry, we engage the services of consultants to assist us in the development of our product candidates. Many of these consultants and our employees were previously employed at, or may have previously provided or may be currently providing consulting services to, other biotechnology or pharmaceutical companies including our competitors or potential competitors. We may become subject to claims that our company or an employee, consultant, or agent inadvertently or otherwise used or disclosed trade secrets or other information proprietary to former employers or former or current clients. Litigation may be necessary to defend against such claims. Even if we are successful in the defense of claims related to use or disclosure of proprietary information, litigation could result in substantial costs and significantly distract our management team.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do not obtain protection under the Hatch-Waxman Amendments by extending the patent terms and obtaining data exclusivity for our product candidate,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FDA marketing approval of reproxalap or other product candidates, one or more of our United States patents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trademarks and trade names are not adequately protected, then we may not be able to build name recognition in our markets of interest, and our business may be adversely affected. Our registered or unregistered trademarks or trade names may be challenged, infringed, circumvented,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United States patent law could diminish the value of patents in general, thereby impairing our ability to protect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biotechnology companies, our success is heavily dependent on intellectual property, particularly patents. Obtaining and enforcing patents in the biopharmaceutical industry involves technological and legal complexity. Therefore, obtaining and enforcing biotechnology patents is costly, time consuming, and inherently uncertain. In addition, Congress may pass patent reform legislation. The Supreme Court has ruled on several patent cases in recent years, either narrowing the scope of patent protection available or weakening the rights of patent owners. In addition to increasing uncertainty with regard to our ability to obtain patents in the future, there is also increasing uncertainty with respect to the value of patents, once obtained. Depending on decisions by the United States Congress, the federal courts, and the USPTO, the laws and regulations governing patents could change in unpredictable ways that would weaken our ability to obtain new patents, or to enforce our existing patents and patents we might obtain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issued composition-of-matter patents covering reproxalap and certain of our other product candidates in the United States and other countries, filing, prosecuting, and defending patents on reproxalap and our other product candidates in all countries throughout the world would be prohibitively expensive, and our intellectual property rights in some countries outside the United States may be less extensive and of significantly shorter duration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the growing use of generative AI presents an increased risk of unintentional and/or unauthorized disclosure or use of our intellectual property rights.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and the third parties with whom we work are increasingly utilizing social media tools as a means of communication both internally and externally, and noncompliance with applicable requirements, policies, or contracts due to social media use or negative posts or comments could have an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Social media is increasingly being used to communicate about our product candidates and clinical development programs, and we may intend to utilize appropriate social media in connection with our commercialization efforts following approval of any product candidates. Social media practices in the biopharmaceutical industry continue to evolve and regulations and regulatory guidance relating to such use are evolving and not always clear. In addition, our employees or third parties with whom we contract or may contract, such as CROs, may knowingly or inadvertently make use of social media in ways that may not comply with legal or contractual requirements, which may give rise to liability and lead to the loss of trade secrets or other intellectual property. Additionally, such use of social media by our employees or third parties with whom we contract or may contract may result in public exposure of personal information of our employees, clinical trial patients, and others, or exposure of information regarding product candidates or clinical trials, which could result in litigation related to off</w:t>
        <w:noBreakHyphen/>
        <w:t>label marketing or other prohibited activities. For example, clinical trial patients may use social media channels to comment on experience in an ongoing blinded clinical trial or to report an alleged adverse event. When such disclosures occur, there is a risk that trial enrollment may be adversely impacted, that we may fail to monitor and comply with applicable adverse event reporting obligations, or that we may not be able to defend our business in the face of the political and market pressures generated by social media due to restrictions on what we may say about any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also a risk of inappropriate disclosure of sensitive information or negative or inaccurate posts or comments about us on any social networking website. Furthermore, negative posts or comments about us or any of our product candidates on social media could seriously damage our reputation, brand image, or goodwill. As a result of inappropriate, negative, or sensitive information disclosed about us on social media, we could face regulatory sanctions, incur liability, or other harm to our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Employee Matters and Managing Growth</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highly dependent on the services of our senior management team and certain key consultants.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company with a limited number of personnel, we are highly dependent on the development, regulatory, commercial, and financial expertise of Todd C. Brady, M.D., Ph.D., our President and Chief Executive Officer, as well as certain other employees and specialized consultants. In addition, we rely on the services of a number of key consultants, including IP, pharmacokinetic, chemistry, toxicology, drug development, and financial and accounting consultants. Leadership transitions can be inherently difficult to manage and may cause disruption within our company. The loss of key individuals or the services of future members of our management team could delay or prevent the further development of our product candidates and, if we are not successful in finding suitable replacements, could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attract and retain senior management, we may be unable to successfully develop or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on our continued ability to attract, retain, and motivate highly qualified management and scientific personnel, and we may not be able to do so in the future due to intense competition among biotechnology and pharmaceutical companies, universities, and research organizations for qualified personnel. If we are unable to attract and retain the necessary personnel, we may experience significant impediments to our ability to implement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senior management may be disruptive to our business, and, if we are unable to manage an orderly transition, our business may be adversely affected. Following the departure of our former Interim Chief Financial Officer in August 2024, we outsourced the principal financial and principal accounting officer roles through the engagement of Danforth Global, Inc., a third-party provider of strategic and operational finance and accounting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performance will depend, in part, on our ability to successfully integrate newly hired executive officers into our management team and our ability to develop an effective working relationship among senior management. Our failure to integrate newly hired individuals and create effective working relationships with other members of management could result in inefficiencies in the development and commercialization of our product candidates, adversely affecting future regulatory approvals, sales of our product candidates, and results of our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 order to commercialize the product candidates not subject to existing partnership agreements, we will need to substantially grow the size of our organization. We may encounter difficulties in managing our growth and expanding our operations successfully.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only had 6 full-time employees. We currently plan to commercialize reproxalap through a collaboration with AbbVie, should AbbVie choose to exercise the AbbVie Option. However, if AbbVie elects not to exercise the AbbVie Option, we may need to grow our organization to continue development and pursue the potential commercialization of reproxalap, either alone or with another third party. In addition, we expect that we will need to grow our organization to continue development and pursue the potential commercialization of our other product candidates, as well as function as a public company. As we seek to advance reproxalap, alone or with others, and other product candidates towards potential commercialization, increase the number of ongoing product development programs, and advance our future product candidates through preclinical studies and clinical trials, we will need to expand our financial,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and require us to retain additional internal capabilities.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clinical and regulatory, financial, administrative and sales, and marketing personnel. We may not be able to identify, recruit, or integrate additional personnel, and our failure to do so could prevent us from successfully growing our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Other Legal or Regulatory Matters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is subject to political, economic, legal, and social risks, which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significant regulatory, economic and legal barriers in markets in the United States and outside the United States that we must overcome. We may be subject to the burden of complying with a wide variety of national and local laws, including multiple and possibly overlapping and conflicting laws. We also may experience difficulties adapting to new cultures, business customs, and legal systems. Any sales and operations would be subject to political, economic, and social uncertainties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and limits in import and export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custom duties and tariffs;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currency exchange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and political instability, including effects of adverse developments affecting the financial services industry, the ongoing conflicts in Ukraine and Israel and the surrounding areas, and the possibility of a wider regional or global conflict, and global sanctions imposed in response thereto;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on employees, suppliers, customers, and the global economy related to public health epidemics or pandemics, and actions taken in response to such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multiple complex, potentially conflicting and changing governmental regulations and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absence in some jurisdictions of effective laws to protect our intellectual property rights;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currency transfer and other restrictions and regulations that may limit our ability to sell certain products or repatriate profits to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United States social, political, regulatory, and economic conditions or in laws and policies governing foreign trade, manufacturing, development, and investment, and any negative sentiments towards the United States as a result of such changes, could adversely affect our business. Concerns over economic recession, elevated interest rates and inflation, tariffs, supply chain delays and disruptions, priorities of the U.S. presidential administration and related changes in laws, regulations or policies, trade wars, unemployment, or prolonged government shutdown may contribute to increased volatility and diminished expectations for the economy and markets. Recent and upcoming presidential and congressional elections in the United States could also result in significant changes in, and uncertainty with respect to, legislation, regulation, and government policy that may impact the biopharmaceutical industry in the United States. Any such impacts may have a negative impact on the United States economies and on our business, financial condition, and results of operations. Additionally, concern over geopolitical issues may also contribute to prolonged market volatility and instability. For example, continued hostilities in Ukraine and Israel and the surrounding areas could lead to disruption, instability, and volatility in global markets and industries. The U.S. government and other governments and jurisdictions have imposed severe economic sanctions and export controls against Russia and Russian interests, have removed Russia from the Society for Worldwide Interbank Financial Telecommunication payment (SWIFT) system, and have threatened additional sanctions and controls. The impact of sanctions, control, and other measures, as well as potential responses by Russia, is unknown.</w:t>
      </w:r>
    </w:p>
    <w:p>
      <w:pPr>
        <w:pStyle w:val="TextBody"/>
        <w:bidi w:val="0"/>
        <w:spacing w:before="120" w:after="283"/>
        <w:jc w:val="left"/>
        <w:rPr>
          <w:rFonts w:ascii="Times New Roman" w:hAnsi="Times New Roman"/>
          <w:sz w:val="20"/>
        </w:rPr>
      </w:pPr>
      <w:r>
        <w:rPr>
          <w:rFonts w:ascii="Times New Roman" w:hAnsi="Times New Roman"/>
          <w:color w:val="000000"/>
          <w:sz w:val="20"/>
        </w:rPr>
        <w:t>Any changes related to political, economic, legal, and social factors could adversely affect any business operations that we conduct outside the United States</w:t>
      </w:r>
      <w:r>
        <w:rPr>
          <w:rFonts w:ascii="Times New Roman" w:hAnsi="Times New Roman"/>
          <w:b/>
          <w:i/>
          <w:color w:val="000000"/>
          <w:sz w:val="2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Security breaches, cyberattacks, loss of data, and other disruptions impacting our information technology systems or those of our third-party collaborators, service providers, contractors or consultants could compromise the privacy, security, integrity or confidentiality of sensitive information related to our business or prevent us from accessing critical information and expose us to adverse consequences, including but not limited to regulatory investigations or actions, litigation, and significant fines and penalties, which could adversely affect our business, financial condition, and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and our current or future third-party collaborators, service providers, contractors, and consultants collect, store, and transmit sensitive data, including legally protected health information, personal data (also referred to as personal information or personally identifiable information under certain data privacy laws) about patients and employees, intellectual property, and our proprietary business and financial information (collectively, sensitive information). We manage and maintain data, including sensitive information, utilizing a combination of on-site systems, managed data center systems, and cloud-based data center systems. We face a number of risks related to our protection of, and our third-party collaborators’, service providers’, contractors’, and consultants’ protection of, sensitive information, including loss of access, inappropriate disclosure and inappropriate or unauthorized access, as well as risks associated with our ability to identify and audit such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secure processing, storage, maintenance, and transmission of sensitive information is vital to our operations and business strategy, and we devote significant resources to protecting such information. Although we take measures to protect sensitive information from unauthorized access or disclosure, our information technology and infrastructure, and those of our third-party collaborators, service providers, contractors, and consultants, may be vulnerable to breakdown or other damage or interruption from service interruptions, system malfunctions, natural disasters,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terrorism, war, and telecommunications and electrical failures, as well as from cyberattacks by malicious third parties (including the deployment of harmful malware, ransomware, denial-of-service attacks, social engineering, and other means to affect service reliability and threaten the confidentiality, integrity, and availability of information) or viruses, or may be otherwise breached due to employee or third-party error, malfeasance, or other activities. Additionally, the development and implementation of AI technologies may further increase our exposure to or exacerbate the risks of cyberattacks or other security incidents, particularly where such technologies are exploited by third parties to breach our or other parties’ systems, including when such technologies are used to target our employees or impersonate members of senior management in order to gain unauthorized access to our systems. Risks associated with AI, security breaches, cyberattacks, loss of data, and other disruptions impacting our information technology systems may be heightened as a result of remote working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are not aware of any such attack, breach, or system failure, we cannot guarantee that our data protection efforts and our investment in information technology, or those of our third-party collaborators, service providers, contractors, and consultants will prevent significant breakdowns, data leakages, and breaches in the relevant systems or other cyber incidents. If such event were to occur and cause interruptions in our operations, our networks could be compromised and the sensitive information we store on those networks could be accessed by unauthorized parties, publicly disclosed, lost, or stolen. Any such unauthorized access, or disclosure, other loss of information, or the perception that inappropriate access, disclosure, or loss of information has occurred, could result in legal claims or proceedings, liability under federal, state, and international laws that protect the privacy of personal data, including but not limited to private lawsuits or class actions under the California Consumer Privacy Act, as amended by the California Privacy Rights Act of 2020 (CPRA), and regulatory penalties, which could result in significant legal or financial exposure. In addition, we may be subject to state laws requiring notification of affected individuals and state regulators in the event of a breach of personal data, which is a broader class of information than the health information protected by the Health Insurance Portability and Accountability Act (HIPAA). Unauthorized access, loss, or dissemination of sensitive information could also disrupt our ability to conduct research and development activities; collect, process, and prepare company financial information; provide information about our product candidates and other patient and physician education or outreach efforts through our website; manage the administrative aspects of our business; or prevent damage to our reputation, any of which could adversely affect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significant fines and penalties, disruptions of our business operations, reputational harm, loss of revenue or profits, loss of customers or sales,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process, generate, use, transfer, disclose, make accessible, protect, secure, dispose of, transmit, and share (collectively, process) personal data (also referred to as personal information or personally identifiable information under certain data privacy laws) and other sensitive information, including proprietary and confidential business data, trade secrets, intellectual property, sensitive third-party data, and patient information. Our data processing activities may subject us to numerous data privacy and security obligations, such as various federal, state, and foreign laws, regulations, guidance, industry standards, external and internal privacy and security policies, contracts, and other obligations that govern the processing of personal data by us and on our behalf. We strive to comply with applicable data privacy and security obligations to the extent possible. However, it is possible that these obligations may be interpreted and applied in a manner that is inconsistent from one jurisdiction to another and may conflict with other rules and/or our practices. Any failure or perceived failure by us to comply with applicable privacy and data security laws and regulations, our privacy policies, or our privacy-related obligations to third parties, or any compromise of security that results in the unauthorized access, release or transfer of personal data or other sensitive information, may result in governmental enforcement actions and fines or orders requiring that we change our practices, private litigation (including class action lawsuits), or public statements against us by consumer advocacy groups or others and could cause a loss of trust in us, which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 in significant legal or financial exposure and reputational damage that could potentially have an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personal data privacy laws, and consumer protection laws (e.g., Section 5 of the Federal Trade Commission Act). For example, HIPAA, as amended by the Health Information Technology for Economic and Clinical Health Act (HITECH), imposes specific requirements relating to the privacy, security, and transmission of individually identifiable health information. In addition, we may be subject to various state data privacy and security laws and regulations, including the California Consumer Privacy Act, as amended by the CPRA, which, among other things, requires covered “businesses” to provide specific disclosures to California consumers concerning the collection, sale, and sharing of their personal data, and gives such consumers the right to opt-out of certain sales of personal information. The CPRA provides for civil penalties for violations, as well as a private right of action for certain security breaches that may increase the likelihood of, and the risks associated with, security breach litigation. Additionally, the CPRA created a new state agency to oversee implementation and enforcement efforts, potentially resulting in further uncertainty and requiring us to incur additional costs and expenses in an effort to comply. Many of the CPRA’s provisions became effective on January 1, 2023. Several states in the U.S. have proposed or enacted laws that contain obligations similar to the CPRA that have taken effect or will take effect in coming years. The U.S. federal government also is contemplating federal privacy legislation. The effects of recently proposed or enacted legislation potentially are far-reaching and could increase our potential liability, increase our compliance costs, and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in Europe have created compliance uncertainty regarding the processing of personal data from Europe. For example, the European Union’s General Data Protection Regulation (EU GDPR), the United Kingdom’s GDPR (UK GDPR), and the Swiss Federal Act on Data Protection extend the geographical scope of European data protection laws to non-European entities and impose strict requirements for processing personal data. For example, under the EU GDPR and/or the UK GDPR, government regulators may impose temporary or definitive bans on data processing, as well as possible fines of up to 4% of global annual turnover for the preceding financial year or €20 million, whichever is higher, for the most serious infringements, exposing us to two parallel sets of regulations, each of which potentially authorizes similar fines and other potentially divergent enforcement actions for certain violations. Further, individuals or consumer protection organizations authorized at law to represent their interests may initiate litigation related to the processing of personal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may transfer personal data from Europe and other jurisdictions to the United States or other countries. The EU GDPR and UK GDPR prohibit the transfer of personal data to countries outside of the EEA, or the UK including the United States, that have not been deemed adequate by the European Commission or by the UK data protection regulator, respectively. Switzerland has adopted similar restrictions. Although there are legal mechanisms that allow for the transfer of personal data from the EEA, UK, and Switzerland to the United States, such mechanisms are subject to legal challenges, and there is no assurance that we can satisfy or rely on these measures to lawfully transfer personal data to the United States. For example, legal developments in the EU have created complexity and uncertainty regarding such transfers and data protection authorities from the different EU Member States may interpret the EU GDPR differently. Additionally, guidance on implementation and compliance practices are often updated or otherwise revised, which adds to the complexity of processing personal data in the EU. Transfer mechanisms have also been subject to various legal challenges. In particular, on July 16, 2020, the Court of Justice of the European Union, in the case of Data Protection Commissioner v. Facebook Ireland Limited, Maximillian Schrems (Case C-311/18) (Schrems II), invalidated the EU-U.S. Privacy Shield Program for transfers of personal data from the EU to the U.S., and added further uncertainty and complexity to the use of standard contractual clauses as a compliance mechanism for transfers of personal data outside the EU.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there is no lawful manner for us to transfer personal data from the EEA, UK, or Switzerland to the United States, or if the requirements for a legally compliant transfer are too onerous, we could face significant adverse consequences, including the interruption or degradation of our operations, the need to relocate part or all of our business or data processing activities to other jurisdictions at significant expense, increased exposure to regulatory actions, substantial fines and penalties, the inability to transfer data and work with partners, vendors and other third-parties, which could limit our ability to conduct clinical trial activities in Europe or elsewhere, and injunctions against our processing or transferring of personal data necessary to operate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EU, UK, and Switzerland, a growing number of other global jurisdictions are considering or have passed legislation implementing data protection requirements or requiring local storage and processing of data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 requirements that could increase the cost and complexity of our business. Some of these laws, such as the General Data Protection Law in Brazil, or the Act on the Protection of Personal Information in Japan, impose similar obligations as those under the EU GDPR and UK GDPR. Others, such as those in Russia, India, and China, could potentially impose more stringent obligations, including data localization requirements. If we are unable to meet these evolving legal requirements or if we violate or are perceived to violate any laws, regulations, or other obligations relating to privacy, data protection, or information security, we may experience harm to our reputation and become subject to investigations, claims, and other remedies, which could expose us to significant fines, penalties, and other damages, all of which would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Current and future legislation may increase the difficulty and cost for us to obtain regulatory and marketing approval of and commercialize our product candidates, alone or with others, and may affect the prices we may obtain.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 number of legislative and regulatory changes and proposed changes regarding healthcare systems that could prevent or delay marketing approval for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additional downward pressure on our pricing and reimbursement for any FDA approved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reform measures that may be adopted in the future may result in reductions in Medicare and other healthcare funding, more rigorous coverage criteria, new payment methodologies, and additional downward pressure pricing and reimbursement for any approved product and/or the level of reimbursement physicians receive for administering any approved product we might bring to market. Reductions in reimbursement levels may negatively impact the frequency with which our products are prescribed or administered. Any reduction in reimbursement from Medicare or other government programs may result in a similar reduction in payments from private payors.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there have been several U.S. congressional inquiries and proposed and enacted state and federal legislation and regulation designed to, among other things, bring more transparency to drug pricing, review the relationship between pricing and manufacturer patient support programs, reduce the costs of drugs under Medicare, and reform government program reimbursement methodologies for drug products. For example, included in the Consolidated Appropriations Act of 2021 were several drug price reporting and transparency measures, such as a new requirement for certain Medicare plans to develop tools to display Medicare Part D prescription drug benefit information in real time and for group and health insurance issuers to report information on pharmacy benefit and drug costs to the Secretaries of the HHS, the Department of Labor, and the Treasury.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unclear how future regulatory actions to implement the IRA, as well as the outcome of pending litigation against the IRA, may affect our products and future profitability, and we cannot predict the likelihood, nature, or extent of other health reform initiatives that may arise from future legislation or administrative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 results of the 2024 Presidential and Congressional elections, and potential subsequent developments, increase the uncertainty related to the healthcare regulatory environment. In addition, on June 28, 2024, the U.S. Supreme Court issued an opinion holding that courts reviewing agency action pursuant to the APA “must exercise their independent judgment” and “may not defer to an agency interpretation of the law simply because a statute is ambiguous.” The decision will have a significant impact on how lower courts evaluate challenges to agency interpretations of law, including those by CMS and other agencies with significant oversight of the healthcare industry. For additional information, see the risk factor above titled “The biopharmaceutical industry is subject to extensive regulatory obligations and policies that are subject to change, including due to judicial challenges.”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individual states are increasingly aggressive in passing legislation and implementing regulations designed to control pharmaceutical and biological product pricing, including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In addition, regional health care authorities and individual hospitals are increasingly using bidding procedures to determine what pharmaceutical products and which suppliers will be included in prescription drug and other health care programs. Such measures could reduce the ultimate demand for our products, if approved, or reduce our pricing and reimbursement.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potential approval and marketing approvals of our product candidates, if any, may be.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continuing efforts of the government, insurance companies, managed care organizations, and other payors of healthcare services to contain or reduce costs of health care may adversely affect: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demand for any product candidates for which we may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set a price that we believe is fair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and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establish strategic partnerships;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taxes that we are required to pay;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arrangements with third-party payors, physicians, and other potential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Applicable U.S. federal and state healthcare laws and regulations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False Claims Act, which may be enforced through civil whistleblower or qui tam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 federal Criminal False Claims Act, which is similar to the federal Civil False Claims Act, imposes criminal liability on individuals or entities that make or present a false, fictitious, or fraudulent claim to the federal government;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care program; (3) violations of the federal Anti-Kickback Statute; or (4) failing to report and return a known overpayment;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HITECH, and implementing regulations, which also impose obligations, including mandatory contractual terms, on certain types of people and entities with respect to safeguarding the privacy, security, and transmission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FDCA which, among other things, strictly regulates drug marketing, prohibits manufacturers from marketing such products for off</w:t>
        <w:noBreakHyphen/>
        <w:t>label use or misbranding or adulterating products, and regulates the distribution of samples;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and teaching hospitals, and for reports submitted on or after January 1, 2022, physician assistants, nurse practitioners, clinical nurse specialists, certified nurse anesthetists, anesthesiologist assistants, and certified nurse-midwives, as well as certain ownership and investment interests held by physicians and their immediate families;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laws that require pharmaceutical companies to comply with the pharmaceutical industry’s voluntary compliance guidelines and relevant compliance guidance promulgated by the federal government;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laws that require drug manufacturers to report information related to payments and other transfers of value to physicians and other healthcare providers or marketing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state laws that prohibit various marketing-related activities, such as the provision of certain kinds of gifts or meals; require the reporting of certain pricing information, including information pertaining to and justifying price increases, or prohibit prescription drug price gouging; and certain state and local laws that require the registration of pharmaceutical sales representatives;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and foreign laws that govern the privacy and security of health information in some circumstances, many of which differ from each other in significant ways and often are not preempted by HIPAA, thus complicating compliance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from government-funded healthcare programs, such as Medicare and Medicaid; disgorgement; contractual damages; reputational harm; diminished profits and future earnings; and the curtailment or restructuring of our operations. Physicians 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or entities with whom we expect to do business found not to be in compliance with applicable law may also be subject to criminal, civil, or administrative sanctions, including exclusions from government-funded healthcare programs. Although effective compliance programs can mitigate the risk of investigation and prosecution for violations, such risks cannot be entirely eliminated. Any action for an alleged or suspected violation can cause us to incur significant legal expenses and divert management’s attention from the operation of the business, even if such action is successfully defended.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Providing benefits or advantages to induce or reward improper performance generally to induce or encourage the prescription, recommendation, endorsement, purchase, supply, order, or use of medicinal products is prohibited in the EU. The provision of benefits or advantages to induce or reward improper performance is governed by the national anti-bribery laws of EU Member States, and in respect of the U.K., the Bribery Act 2010. Infringement of these laws may result in substantial fines and imprisonment. EU Directive 2001/83/EC, which is the EU Directive governing medicinal products for human use, provides that, where medicinal products are being promoted to healthcare professionals, no gifts, pecuniary advantages, or benefits in kind may be supplied, offered or promised to such individuals unless such gifts or benefits are inexpensive and relevant to the practice of medicine or pharmacy. This provision was transposed into the Human Medicines Regulations 2012 and as such remains applicable in the UK.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Specific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market products in a manner that violates healthcare fraud and abuse laws, or if we violate government price reporting laws, we may be subject to civil or criminal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FDA restrictions on the marketing of pharmaceutical products, several other types of state and federal healthcare fraud and abuse laws, including false claim statutes and anti-kickback statutes, have been applied in recent years to restrict certain marketing practices in the pharmaceutical industry. Because of the breadth of fraud and abuse laws and the narrowness of the safe harbors, some of our business activities could be subject to challenge under one or more of these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false claims laws prohibit any person from knowingly presenting, or causing to be presented, a false claim for payment to the federal government or knowingly making, or causing to be made, a false statement to get a false claim paid. 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anti-kickback statute has been interpreted to apply to arrangements between pharmaceutical manufacturers on the one hand, and prescribers, purchasers, and formula managers on the other. Although there are several statutory exemptions and regulatory safe harbors protecting certain common activities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anti-kickback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 the past few years, several pharmaceutical and other healthcare companies have been prosecuted under fraud and abuse laws for a variety of alleged promotional and marketing activities, such as: allegedly providing free trips, free goods, sham consulting fees and grants, and other monetary benefits to prescribers; reporting to pricing services inflated average wholesale prices that were then used by federal programs to set reimbursement rates; engaging in off</w:t>
        <w:noBreakHyphen/>
        <w:t>label promotion that caused claims to be submitted to Medicaid for non-covered, off</w:t>
        <w:noBreakHyphen/>
        <w:t>label uses; and submitting inflated best price information to the Medicaid Rebate Program to reduce liability for Medicaid rebates. Most states also have statutes or regulations similar to the federal anti-kickback law and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commercialization of reproxalap or our other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as a result of the clinical testing of our product candidates and will face an even greater risk if we commercialize our product candidates. For example, we may be sued if reproxalap or our other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could also be asserted under state consumer protection 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reproxalap or our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continue to develop or commercialize reproxalap or our other product candidates;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decline in our stock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product liability insurance with $5.0 million in coverage. We anticipate that we will need to increase our insurance coverage if we commercialize any product candidate. Our inability to obtain and retain sufficient product liability insurance at an acceptable cost to protect against potential product liability claims could prevent or inhibit the commercialization of reproxalap or our other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and our development partners, third-party manufacturers, and suppliers use biological materials and may use hazardous materials, and any claims relating to improper handling, storage, or disposal of these materials could be time consuming or costly.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development partners, third-party manufacturers, and suppliers may use hazardous materials, including chemicals and biological agents and compounds that could be dangerous to human health and safety 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environment. Our operations and the operations of our development partner,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entirely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and any of our future development partners will be required to report to regulatory authorities if any of our approved products cause or contribute to adverse medical events, and any failure to do so would result in sanctions that would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and any of our future development partners are successful in commercializing our products, the FDA and foreign regulatory authorities will require that we and any of our future development partners report certain information about adverse medical events if those products may have caused or contributed to those adverse events. The timing of our obligation to report would be triggered by the date we become aware of the adverse event as well as the nature of the event. We and any of our future development partners may fail to report adverse events we become aware of within the prescribed timeframe or to perform inadequate investigations of their causes. We and any of our future development partners may also fail to appreciate that we have become aware of a reportable adverse event, especially if it is not reported to us as an adverse event or if it is an adverse event that is unexpected or removed in time from the use of our products. If we and any of our future development partners fail to comply with our reporting obligations, the FDA or a foreign regulatory authority could take enforcement action including the issuance of a Warning Letter, the requirement of a labeling change, the initiation of a criminal prosecution, the imposition of civil monetary penalties, the seizure of our products, or delay in approval or clearance of future products.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are subject to anti-corruption laws, including the Foreign Corrupt Practices Act (FCPA), the Bribery Act and other anticorruption laws that apply in countries where we do business and may do business in the future. The FCPA, the Bribery Act, and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are subject to other laws and regulations governing our international operations, including regulations administered by the governments of the United States, UK, and authorities in the EU, including applicable export control regulations, economic sanctions on countries and persons, customs requirements, and currency exchange regulations, which we collectively refer to as Trade Control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disgorgement, and other sanctions and remedial measures, which could have an adverse impact on our business, financial condition, results of operations, or liquidity. The SEC also may suspend or bar issuers from trading securities on U.S. exchanges for violations of the FCPA’s accounting provisions. Likewise, any investigation of any potential violations of the FCPA; the Bribery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 or other anti-corruption laws or Trade Control Laws by U.S., U.K., or other authorities also could have an adverse impact on our reputation, our business, results of operations, or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employees, independent contractors, vendors, principal investigators, contract research organizations (CROs), and consultants may engage in misconduct or other improper activities, including noncompliance with regulatory standards, regulatory requirements, and insider trading.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that our employees, independent contractors, vendors, principal investigators, CROs and consultants may engage in fraudulent conduct or other illegal activity. Misconduct by these parties could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intentional, reckless, or negligent conduct or disclosure to us of unauthorized activities that violate the regulations of the FDA or similar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fraud and abuse in violation of U.S. and foreign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violations of U.S. federal securities laws relating to trading in our common stock;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failures to report financial information or data accurately.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sales, marketing and business arrangements in the healthcare industry are subject to extensive laws and regulations intended to prevent fraud, misconduct, kickbacks, self-dealing and other abusive practices. These laws and regulations govern a wide range of pricing, discounting, marketing and promotion, sales commission, customer incentive programs and other business arrangements. While we have adopted a code of conduct and implemented other internal controls applicable to all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Any such actions instituted against us, assuming we are not successful in defending ourselves or asserting our rights, could have a significant impact on our business or cause reputational harm, including the imposition of civil, criminal, and administrative penalties and damages; possible exclusion from participation in Medicare, Medicaid, and other federal healthcare programs;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during the course of our operations, our directors, executives, employees, consultants, and other third parties may have access to material nonpublic information regarding our business, our results of operations, or potential transactions we are considering. We may not be able to prevent trading in our common stock on the basis of, or while having access to, material nonpublic information. If any such person was to be investigated or an action were to be brought against them for insider trading, it could have a negative impact on our reputation and our stock price. Such a claim, with or without merit, could also result in substantial expenditures of time and money, and divert attention of our management team from other tasks important to the success of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litigation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various litigation matters and claims, including regulatory proceedings, administrative proceedings, governmental investigations, and contract disputes. We may face potential claims or liability for, among other things, breach of contract, defamation, libel, fraud, or negligence. We may also face employment-related litigation, including claims of age discrimination; sexual harassment; gender discrimination; immigration violations; or other local, state, and federal labor law violations. Because of the uncertain nature of litigation and insurance coverage decisions, the outcome of such actions and proceedings cannot be predicted with certainty and an unfavorable resolution of one or more of them could have a material adverse effect on our business, financial condition, results of operations, cash flows, and the trading price of our securities. In addition, legal fees and costs associated with prosecuting and defending litigation matters could have a material adverse effect on our business, financial condition, results of operations, and the trading price of our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and could in the future be, subject to securities class action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securities class action litigation has often been brought against companies, including us, following a decline in the market price of its securities. The risk of securities class action litigation is especially relevant for us because biotechnology and pharmaceutical companies have experienced significant stock price volatility in recent years. Such litigation could cause us to incur substantial costs and a diversion of management’s attention and resources, which could harm our business. For further information about specific litigation and proceedings, see the section titled “Legal Proceedings” contained in Part II, Item 1, and Note 14 of our Notes to Consolidated Financial Statements (unaudited) of this report.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insurance policies are expensive and protect us only from some business risks, which leaves us exposed to significant uninsured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carry insurance for all categories of risk that our business may encounter. Some of the policies we currently maintain include general liability, product and clinical trial liability, workers’ compensation, and directors’ and officers’ insurance. We do not know, however, if we will be able to maintain existing insurance with adequate levels of coverage. Any significant, uninsured liability may require us to pay substantial amounts, which would adversely affect our working capital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 federal and state income tax reform could adversely affect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legislation or regulation which could affect our tax burden could be enacted by any governmental authority. We cannot predict the timing or extent of such tax-related developments which could have a negative impact on our financial results. Additionally,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 the absence of an active trading market for our common stock, investors may not be able to resell their shares at or above the price at which the shares were purchased.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absence of an active trading market for our common stock, investors may not be able to sell common stock at or above the price paid. In addition, an inactive market may impair our ability to raise capital by selling shares and may impair our ability to acquire other companies or technologies by using our shares as consideration, which, in turn, could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trading price of the shares of our common stock has been and is likely to continue to be highly volatile, and purchasers of our common stock could incur substantial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has been and will likely continue to be volatile for the foreseeable future. The stock market in general and the market for biotechnology companies in particular have experienced extreme volatility that has often been unrelated to the operating performance of particular companies. As a result of volatility, investors may not be able to sell common stock at or above the price paid. The market price for our common stock may be influenced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FDA regulatory review processes and other regulatory actions with respect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and the results of trials of our competitors or those of other companies in our market sector;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and status of our research and development and regulatory plans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exercise, if any, of the AbbVie Option;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expectations of investors or securities analysts regarding our business and clinical development program, including interim or final top-line results that we may announce;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in the United States and foreign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enroll and retain patients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 especially in light of current reforms to the United States healthcare 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partnerships,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 and issuance of securities analysts’ reports or recommendations;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stock by insiders and 5%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 sellers and manipulative techniques employed by short sellers to drive down the market price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regional or larger scale conflicts or geo-political actions, and market conditions other events or factors, many of which are beyond our control, including frequent and dramatic fluctuations in industry indexes that may contain or influence our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intellectual property, product liability, or other litigation against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Concerns over economic recession, elevated interest rates and inflation, adverse developments affecting the biotechnology industry, supply chain delays and disruptions, priorities of the U.S. presidential administration and related changes in laws, regulations, and policies,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continued hostilities in Ukraine and Israel and the surrounding areas, could lead to disruption, instability, and volatility in global markets and industries. In connection with the hostilities between Russia and Ukraine, the U.S. government and other governments and jurisdictions have imposed severe economic sanctions and export controls against Russia and Russian interests, have removed Russia from the SWIFT system, and have threatened additional sanctions and controls. The impact of such measures, as well as potential responses to them by Russia, is unknown.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the past, stockholders have initiated class action lawsuits against biotechnology and pharmaceutical companies following periods of volatility in stock market prices. Such litigation, if instituted against us, could cause us to incur substantial costs and divert management’s attention and resources, which could have a material adverse effect on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Short sellers may be manipulative and may drive down the market price of our common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Short sellers of our stock may be manipulative and may attempt to drive down the market price of shares of our common stock. 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received from the sale. Therefore, short sellers (sometime known as “disclosed shorts”) often publish, or arrange for the publication of, negative opinions regarding the relevant issuer and its business prospects to create negative market momentum and generate profits for themselves after selling a stock short. Although, in the past, disclosed shorts were not able to broadly access mainstream business media or to otherwise create negative market rumors, the rise of technological advancements regarding document creation, videotaping, and publication by blogging have allowed many disclosed shorts to publicly attack a company’s credibility, strategy, and veracity by means of so-called “research reports” that mimic the type of investment analysis performed by large Wall Street firms and independent research analysts. Short seller publications are not regulated by any governmental, self-regulatory organization, or other official authority in the United States, and are not subject to certification requirements imposed by the SEC. Accordingly, the opinions expressed by short sellers may be based on distortions or omissions of actual facts or,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cases, fabrications of facts. Short attacks have, in the past, led to significant selling of shares in the market. Issuers who have limited trading volumes and are susceptible to higher volatility levels than large-cap stocks can be particularly vulnerable to short seller attacks. Significant short selling creates an incentive for market participants to reduce the value of the stock that is shorted. Short selling may lead to the placement of sell orders by short sellers without commensurate buy orders because the shares borrowed by short sellers do not have to be returned by any fixed period of time. If a significant market for short selling our common stock develops, the market price of our common stock could be significantly depressed.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failure to meet the continued listing requirements of The Nasdaq Capital Market could result in a delisting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satisfy the continued listing requirements of The Nasdaq Capital Market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would expect to take actions to restore our compliance with Nasdaq’s listing requirements, but we can provide no assurance that any such action taken by us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Because a small number of our existing stockholders own a substantial percentage of our outstanding common stock, your ability to influence corporate matters will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our executive officers, directors, and greater than 5% stockholders, in the aggregate, own approximately 24% of our outstanding common stock. As a result, such persons, acting together, may have the ability to control our management and business affairs and substantially all matters submitted to our stockholders for approval, including the election and removal of directors and approval of any significant transaction.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shares become subject to the penny stock rules, it would become more difficult to trade our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shares.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do not intend to pay dividends on our common stock and, consequently, your ability to achieve a return on your investment will depend on appreciation in the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any future debt financing arrangements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appreciation in the value of our common stock. There is no guarantee that shares of our common stock will appreciate in value or even maintain the price at which our stockholders have purchased shares.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 substantial number of shares of our common stock could be sold into the public market in the near future, which could depress our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substantial amounts of our common stock in the public market could reduce the prevailing market prices for our common stock. Substantially all of our outstanding common stock is eligible for sale as is common stock issuable under vested and exercisable stock options and upon settlement of vested RSUs. If our existing stockholders sell a large number of shares of our common stock, or the public market perceives that existing stockholders might sell shares of common stock, the market price of our common stock could decline significantly. Existing stockholder sales might also make it more difficult for us to sell additional equity securities at a time and price that we deem appropriate.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 smaller reporting company, and we cannot be certain if the reduced reporting requirements applicable to smaller reporting companies will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under Rule 12b-2 of the Securities Exchange Act of 1934. For as long as we continue to be a smaller reporting company, we may take advantage of exemptions from various reporting requirements that are applicable to other public companies that are not smaller reporting companies, including reduced disclosure obligations regarding executive compensation in our periodic reports and proxy statements. We cannot predict if investors will find our common stock less attractive because we may rely on smaller reporting company exemptions. If some investors find our common stock less attractive as a result, there may be a less active trading market for our common stock, and our stock price may be more volatile.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incurring significant increased costs and demands upon management as a result of operating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and particularly if and after we cease to be a “smaller reporting company,” we incur significant legal, accounting, and other expenses that we did not incur as a private company. We are subject to the reporting requirements of the Securities Exchange Act of 1934, as amended, or the Exchange Act, which require, among other things, that we file with the Securities and Exchange Commission, or the SEC, annual, quarterly and current reports with respect to our business and financial condition. In addition, the Sarbanes-Oxley Act, as well as rules subsequently adopted by the SEC and Nasdaq to implement provisions of the Sarbanes-Oxley Act, imposes significant requirements on public companies, including requiring establishment and maintenance of effective disclosure and financial controls and changes in corporate governance practices. Further, in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result in substantial new regulations and disclosure obligations, which may lead to additional compliance costs and impact the manner in which we operate our business in ways we cannot currently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the rules and regulations applicable to public companies to continue to substantially increase our legal and financial compliance costs and to make some activities more time-consuming and costly. If public company rules and regulations divert the attention of our management and personnel from other business concerns, our business, financial condition, and results of operations could be adversely affected. Increased costs associated with public company expenses will increase our net loss. For example, public company rules and regulations make it more difficult and more expensive for us to obtain director and officer liability insurance, the cost of which has continued to rise in recent years, and thus we may be required to incur substantial costs to maintain the same or similar coverage. We cannot predict or estimate the amount or timing of additional costs we may incur to respond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requirements, the impact of which could also make it more difficult for us to attract and retain qualified persons to serve on our board of directors, our board committees, or as executive officers.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Section 404 of the Sarbanes-Oxley Act, our management is required to report upon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continue to comply with the requirements of being a reporting company under the Exchange Act, we will be required to continue to upgrade and maintain our systems including information technology; implement and maintain additional financial and management controls, reporting systems, and procedures; and hire additional accounting and finance staff. Furthermore, we rely on third-parties, including software and system providers, for ensuring our reporting obligations and effective internal controls, and to the extent these third parties fail to provide adequate service including as a result of any inability to scale to handle our growth and the imposition of increased reporting and internal controls and procedures, we could incur material costs for upgrading or switching systems and our business could be materially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However, as a smaller reporting company and a non-accelerated filer, our independent registered public accounting firm will not be required to attest to the effectiveness of our internal control over financial reporting pursuant to Section 404 for as long as we are not deemed an “accelerated filer” or “large accelerated filer.”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and maintain effective internal controls it could have a material adverse effect on our business, financial condition, results of operations, or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grow, we plan to hire additional personnel and engage in external temporary resources and may implement, document, and modify policies and procedures to maintain effective internal controls. However, we may identify deficiencies and weaknesses or fail to remediate previously identified deficiencies in our internal controls. If material weaknesses or deficiencies in our internal controls exist and go undetected or unremediated, our financial statements could contain material misstatements that, when discovered in the future, could cause us to fail to meet our future reporting obligations and cause the price of our common stock to decline. In addition, we could be subject to sanctions or investigations by the SEC or other regulatory authorities, which would require additional financial and management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securities or industry analysts do not continue to publish research or reports or publish unfavorable research or reports about our business,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will depend in part on the research and reports that securities or industry analysts publish about us, our business, our market, or our competitors. If one or more analysts downgrade our stock or publish unfavorable research or reports about our business, our stock price would likely decline. If one or more analysts cease to cover us or fail to regularly publish reports on us, interest in our stock could decrease, which could cause our stock price or trading volume to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amended and restated certificate of incorporation and amended and restated bylaws may delay or prevent an acquisition of us or a change in our management.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authorizing the issuance of “blank check” preferred stock, the terms of which may be established and shares of which may be issued without stockholder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the removal of directors by the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creating a staggered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prohibiting stockholder action by written consent, thereby requiring all stockholder actions to be taken at a meeting of our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eliminating the ability of stockholders to call a special meeting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permitting our board of directors to accelerate the vesting of outstanding option grants and other awards upon certain transactions that result in a change of control;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advance notice requirements for nominations for election to the board of directors or for proposing matters that can be acted upon at stockholder meetings.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 provisions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restated certificate of incorporation and amended and restated bylaws provide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 Exceptions to the Delaware forum include claims brought to enforce a duty or liability created by the Exchange Act or any other claim for which the federal courts have exclusive jurisdiction. Our amended and restated bylaws further provide that the federal district courts of the United States will be the exclusive forum for resolving any complaint asserting a cause of action arising under the Securities Act. Choices of forum provisions may limit a stockholder’s ability to bring a claim in a judicial forum that the stockholder finds favorable for disputes with us or our directors, officers, or other employees, and may discourage stockholder and related lawsuits. Furthermore, the enforceability of similar choice of forum provisions in other companies’ certificates of incorporation or bylaws has been challenged in legal proceedings, and it is possible that a court could find such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could be negatively affected as a result of the actions of activist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Proxy contests have been waged against many companies in the biotechnology industry over the last few years. We may be particularly vulnerable to activist stockholders due to fluctuations in our stock price. If faced with a proxy contest or other type of stockholder activism, we may not be able to respond successfully to the contest or dispute, which would be disruptive to our business. Even if we are successful, our business could be adversely affected by a proxy contest or stockholder dispute involving us or our partners because: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responding to proxy contests and other actions by activist stockholders can be costly and time-consuming, disrupting operations and diverting the attention of management and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perceived uncertainties as to future direction may result in the loss of potential acquisitions, collaborations, or in-licensing opportunities, and may make it more difficult to attract and retain qualified personnel and business partners;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individuals elected to our board of directors may adversely affect our ability to effectively and timely implement our strategic plan and create additional value for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actions of activist shareholders could cause our stock price to experience periods of volatility.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_5_o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1"/>
        <w:gridCol w:w="146"/>
        <w:gridCol w:w="9258"/>
      </w:tblGrid>
      <w:tr>
        <w:trPr/>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8" w:type="dxa"/>
            <w:tcBorders/>
            <w:vAlign w:val="center"/>
          </w:tcPr>
          <w:p>
            <w:pPr>
              <w:pStyle w:val="TableContents"/>
              <w:bidi w:val="0"/>
              <w:spacing w:before="0" w:after="283"/>
              <w:jc w:val="left"/>
              <w:rPr>
                <w:sz w:val="4"/>
                <w:szCs w:val="4"/>
              </w:rPr>
            </w:pPr>
            <w:r>
              <w:rPr>
                <w:sz w:val="4"/>
                <w:szCs w:val="4"/>
              </w:rPr>
            </w:r>
          </w:p>
        </w:tc>
      </w:tr>
      <w:tr>
        <w:trPr/>
        <w:tc>
          <w:tcPr>
            <w:tcW w:w="80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5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Restated Certificate of Incorporation of Registrant (filed as Exhibit 3.1 to the Registrant’s Current Report on Form 8-K as filed on May 7, 2014, and incorporated herein by reference).</w:t>
              </w:r>
            </w:hyperlink>
            <w:hyperlink r:id="rId4">
              <w:r>
                <w:rPr>
                  <w:rStyle w:val="InternetLink"/>
                  <w:rFonts w:ascii="Times New Roman" w:hAnsi="Times New Roman"/>
                  <w:color w:val="0000FF"/>
                  <w:sz w:val="20"/>
                </w:rPr>
                <w:t xml:space="preserve"> </w:t>
              </w:r>
            </w:hyperlink>
          </w:p>
        </w:tc>
      </w:tr>
      <w:tr>
        <w:trPr/>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of the Registrant (filed as Exhibit 3.1 to the Registrant’s Current Report on Form 8-K as filed on May 1, 2020, and incorporated herein by reference).</w:t>
              </w:r>
            </w:hyperlink>
            <w:hyperlink r:id="rId6">
              <w:r>
                <w:rPr>
                  <w:rStyle w:val="InternetLink"/>
                  <w:rFonts w:ascii="Times New Roman" w:hAnsi="Times New Roman"/>
                  <w:color w:val="0000FF"/>
                  <w:sz w:val="20"/>
                </w:rPr>
                <w:t xml:space="preserve"> </w:t>
              </w:r>
            </w:hyperlink>
          </w:p>
        </w:tc>
      </w:tr>
      <w:tr>
        <w:trPr/>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pPr>
            <w:hyperlink w:anchor="aldx-ex31_1.htm">
              <w:r>
                <w:rPr>
                  <w:rStyle w:val="InternetLink"/>
                  <w:rFonts w:ascii="Times New Roman" w:hAnsi="Times New Roman"/>
                  <w:color w:val="0000FF"/>
                  <w:sz w:val="20"/>
                  <w:u w:val="single"/>
                </w:rPr>
                <w:t>Certification of the Principal Executive Officer, as required by Section 302 of the Sarbanes-Oxley Act of 2002.</w:t>
              </w:r>
            </w:hyperlink>
            <w:hyperlink w:anchor="aldx-ex31_1.htm">
              <w:r>
                <w:rPr>
                  <w:rStyle w:val="InternetLink"/>
                  <w:rFonts w:ascii="Times New Roman" w:hAnsi="Times New Roman"/>
                  <w:color w:val="0000FF"/>
                  <w:sz w:val="20"/>
                </w:rPr>
                <w:t xml:space="preserve"> </w:t>
              </w:r>
            </w:hyperlink>
          </w:p>
        </w:tc>
      </w:tr>
      <w:tr>
        <w:trPr/>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pPr>
            <w:hyperlink w:anchor="aldx-ex31_2.htm">
              <w:r>
                <w:rPr>
                  <w:rStyle w:val="InternetLink"/>
                  <w:rFonts w:ascii="Times New Roman" w:hAnsi="Times New Roman"/>
                  <w:color w:val="0000FF"/>
                  <w:sz w:val="20"/>
                  <w:u w:val="single"/>
                </w:rPr>
                <w:t>Certification of the Principal Financial and Accounting Officer, as required by Section 302 of the Sarbanes-Oxley Act of 2002.</w:t>
              </w:r>
            </w:hyperlink>
            <w:hyperlink w:anchor="aldx-ex31_2.htm">
              <w:r>
                <w:rPr>
                  <w:rStyle w:val="InternetLink"/>
                  <w:rFonts w:ascii="Times New Roman" w:hAnsi="Times New Roman"/>
                  <w:color w:val="0000FF"/>
                  <w:sz w:val="20"/>
                </w:rPr>
                <w:t xml:space="preserve"> </w:t>
              </w:r>
            </w:hyperlink>
          </w:p>
        </w:tc>
      </w:tr>
      <w:tr>
        <w:trPr/>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pPr>
            <w:hyperlink w:anchor="aldx-ex32_1.htm">
              <w:r>
                <w:rPr>
                  <w:rStyle w:val="InternetLink"/>
                  <w:rFonts w:ascii="Times New Roman" w:hAnsi="Times New Roman"/>
                  <w:color w:val="0000FF"/>
                  <w:sz w:val="20"/>
                  <w:u w:val="single"/>
                </w:rPr>
                <w:t>Certification of the Chief Executive Officer and Head of Finance, as required by Section 906 of the Sarbanes-Oxley Act of 2002.</w:t>
              </w:r>
            </w:hyperlink>
            <w:hyperlink w:anchor="aldx-ex32_1.htm">
              <w:r>
                <w:rPr>
                  <w:rStyle w:val="InternetLink"/>
                  <w:rFonts w:ascii="Times New Roman" w:hAnsi="Times New Roman"/>
                  <w:color w:val="0000FF"/>
                  <w:sz w:val="20"/>
                </w:rPr>
                <w:t xml:space="preserve"> </w:t>
              </w:r>
            </w:hyperlink>
          </w:p>
        </w:tc>
      </w:tr>
      <w:tr>
        <w:trPr/>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jc w:val="left"/>
              <w:rPr>
                <w:rFonts w:ascii="Times New Roman" w:hAnsi="Times New Roman"/>
                <w:color w:val="212529"/>
                <w:sz w:val="20"/>
              </w:rPr>
            </w:pPr>
            <w:r>
              <w:rPr>
                <w:rFonts w:ascii="Times New Roman" w:hAnsi="Times New Roman"/>
                <w:color w:val="212529"/>
                <w:sz w:val="20"/>
              </w:rPr>
              <w:t>Inline XBRL Instance Document - the instance document does not appear in the Interactive Data File because its XBRL tags are embedded within the Inline XBRL document</w:t>
            </w:r>
          </w:p>
          <w:p>
            <w:pPr>
              <w:pStyle w:val="TableContents"/>
              <w:bidi w:val="0"/>
              <w:spacing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Inline XBRL Taxonomy Extension Schema Document</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Inline XBRL Taxonomy Extension Calculation Linkbase Document</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Inline XBRL Taxonomy Extension Definition Linkbase Document</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Inline XBRL Taxonomy Extension Label Linkbase Document</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Inline XBRL Taxonomy Extension Presentation Linkbase Document</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certification attached as Exhibit 32.1 that accompanies this quarterly report on Form 10-Q is not deemed filed with the Securities and Exchange Commission and is not to be incorporated by reference into any filing of Aldeyra Therapeutics,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83" w:type="dxa"/>
        <w:jc w:val="left"/>
        <w:tblInd w:w="0" w:type="dxa"/>
        <w:tblLayout w:type="fixed"/>
        <w:tblCellMar>
          <w:top w:w="28" w:type="dxa"/>
          <w:left w:w="28" w:type="dxa"/>
          <w:bottom w:w="28" w:type="dxa"/>
          <w:right w:w="28" w:type="dxa"/>
        </w:tblCellMar>
      </w:tblPr>
      <w:tblGrid>
        <w:gridCol w:w="1366"/>
        <w:gridCol w:w="146"/>
        <w:gridCol w:w="477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Aldeyra Therapeutics, Inc.</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7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C. Brady, M.D., Ph.D.</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Todd C. Brady, M.D., Ph.D.</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7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Aldeyra Therapeutics, Inc.</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7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Alfieri</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Alfieri</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Head of Finance</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bookmarkStart w:id="21" w:name="aldx-ex31_1.htm"/>
      <w:bookmarkStart w:id="22" w:name="ksaldxex31_1"/>
      <w:bookmarkEnd w:id="21"/>
      <w:bookmarkEnd w:id="2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aps/>
          <w:color w:val="000000"/>
          <w:sz w:val="20"/>
        </w:rPr>
        <w:t>CERTIFICATION OF PRINCIPAL EXECUTIVE OFFICER</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PURSUANT TO SECTION 302 OF THE SARBANES-OXLEY ACT OF 2002</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Todd C. Brady,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Aldeyra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168" w:type="dxa"/>
        <w:jc w:val="left"/>
        <w:tblInd w:w="0" w:type="dxa"/>
        <w:tblLayout w:type="fixed"/>
        <w:tblCellMar>
          <w:top w:w="28" w:type="dxa"/>
          <w:left w:w="28" w:type="dxa"/>
          <w:bottom w:w="28" w:type="dxa"/>
          <w:right w:w="28" w:type="dxa"/>
        </w:tblCellMar>
      </w:tblPr>
      <w:tblGrid>
        <w:gridCol w:w="1366"/>
        <w:gridCol w:w="146"/>
        <w:gridCol w:w="265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Todd C. Brady, M.D., Ph.D. </w:t>
            </w:r>
          </w:p>
        </w:tc>
      </w:tr>
      <w:tr>
        <w:trPr/>
        <w:tc>
          <w:tcPr>
            <w:tcW w:w="13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Todd C. Brady, M.D., Ph.D.</w:t>
            </w:r>
          </w:p>
        </w:tc>
      </w:tr>
      <w:tr>
        <w:trPr/>
        <w:tc>
          <w:tcPr>
            <w:tcW w:w="13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13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aldx-ex31_2.htm"/>
      <w:bookmarkStart w:id="24" w:name="ksaldxex31_2"/>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aps/>
          <w:color w:val="000000"/>
          <w:sz w:val="20"/>
        </w:rPr>
        <w:t>CERTIFICATION OF PRINCIPAL FINANCIAL OFFICER AND PRINCIPAL ACCOUNTING OFFICER</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PURSUANT TO SECTION 302 OF THE SARBANES-OXLEY ACT OF 2002</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Michael Alfieri,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Aldeyra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6283" w:type="dxa"/>
        <w:jc w:val="left"/>
        <w:tblInd w:w="0" w:type="dxa"/>
        <w:tblLayout w:type="fixed"/>
        <w:tblCellMar>
          <w:top w:w="28" w:type="dxa"/>
          <w:left w:w="28" w:type="dxa"/>
          <w:bottom w:w="28" w:type="dxa"/>
          <w:right w:w="28" w:type="dxa"/>
        </w:tblCellMar>
      </w:tblPr>
      <w:tblGrid>
        <w:gridCol w:w="1366"/>
        <w:gridCol w:w="146"/>
        <w:gridCol w:w="477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Michael Alfieri </w:t>
            </w:r>
          </w:p>
        </w:tc>
      </w:tr>
      <w:tr>
        <w:trPr/>
        <w:tc>
          <w:tcPr>
            <w:tcW w:w="13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Alfieri</w:t>
            </w:r>
          </w:p>
        </w:tc>
      </w:tr>
      <w:tr>
        <w:trPr/>
        <w:tc>
          <w:tcPr>
            <w:tcW w:w="13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Head of Finance</w:t>
            </w:r>
          </w:p>
        </w:tc>
      </w:tr>
      <w:tr>
        <w:trPr/>
        <w:tc>
          <w:tcPr>
            <w:tcW w:w="13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aldx-ex32_1.htm"/>
      <w:bookmarkStart w:id="26" w:name="ksaldxex32_1"/>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Pursuant to Section 906 of the Sarbanes-Oxley Act of 2002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(Subsections (a) and (b) of Section 1350, Chapter 63 of Title 18, United States Code)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Section 906 of the Sarbanes-Oxley Act of 2002 (subsections (a) and (b) of section 1350, chapter 63 of title 18, United States Code), each of the undersigned officers of Aldeyra Therapeutics, Inc. (the “Company”), does hereby certify, to the best of such officer’s knowledge,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Quarterly Report on Form 10-Q for the quarter ended June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 </w:t>
      </w:r>
    </w:p>
    <w:p>
      <w:pPr>
        <w:pStyle w:val="TextBody"/>
        <w:bidi w:val="0"/>
        <w:jc w:val="left"/>
        <w:rPr/>
      </w:pPr>
      <w:r>
        <w:rPr/>
        <w:t> </w:t>
      </w:r>
    </w:p>
    <w:tbl>
      <w:tblPr>
        <w:tblW w:w="6283" w:type="dxa"/>
        <w:jc w:val="left"/>
        <w:tblInd w:w="0" w:type="dxa"/>
        <w:tblLayout w:type="fixed"/>
        <w:tblCellMar>
          <w:top w:w="28" w:type="dxa"/>
          <w:left w:w="28" w:type="dxa"/>
          <w:bottom w:w="28" w:type="dxa"/>
          <w:right w:w="28" w:type="dxa"/>
        </w:tblCellMar>
      </w:tblPr>
      <w:tblGrid>
        <w:gridCol w:w="1366"/>
        <w:gridCol w:w="146"/>
        <w:gridCol w:w="477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Todd C. Brady, M.D., Ph.D.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Todd C. Brady, M.D., Ph.D.</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Michael Alfieri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Alfieri</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Head of Finance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Principal Accounting Officer)</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 signed original of this written statement required by Section 906 has been provided to the Company and will be retained by the Company and furnished to the Securities and Exchange Commission (SEC)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41235/000119312514187708/d721856dex31.htm" TargetMode="External"/><Relationship Id="rId4" Type="http://schemas.openxmlformats.org/officeDocument/2006/relationships/hyperlink" Target="https://www.sec.gov/Archives/edgar/data/1341235/000119312514187708/d721856dex31.htm" TargetMode="External"/><Relationship Id="rId5" Type="http://schemas.openxmlformats.org/officeDocument/2006/relationships/hyperlink" Target="https://www.sec.gov/Archives/edgar/data/1341235/000119312520131009/d923472dex31.htm" TargetMode="External"/><Relationship Id="rId6" Type="http://schemas.openxmlformats.org/officeDocument/2006/relationships/hyperlink" Target="https://www.sec.gov/Archives/edgar/data/1341235/000119312520131009/d923472dex3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55230</Words>
  <Characters>311838</Characters>
  <CharactersWithSpaces>366770</CharactersWithSpaces>
  <Paragraphs>4396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