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40" w:after="283"/>
        <w:jc w:val="center"/>
        <w:rPr>
          <w:rFonts w:ascii="Times New Roman" w:hAnsi="Times New Roman"/>
          <w:b/>
          <w:color w:val="000000"/>
          <w:sz w:val="36"/>
        </w:rPr>
      </w:pPr>
      <w:bookmarkStart w:id="0" w:name="aldx-20260714.htm"/>
      <w:bookmarkStart w:id="1" w:name="ksaldx20260714"/>
      <w:bookmarkEnd w:id="0"/>
      <w:bookmarkEnd w:id="1"/>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160" w:after="283"/>
        <w:jc w:val="center"/>
        <w:rPr>
          <w:rFonts w:ascii="Times New Roman" w:hAnsi="Times New Roman"/>
          <w:b/>
          <w:color w:val="000000"/>
          <w:sz w:val="36"/>
        </w:rPr>
      </w:pPr>
      <w:r>
        <w:rPr>
          <w:rFonts w:ascii="Times New Roman" w:hAnsi="Times New Roman"/>
          <w:b/>
          <w:color w:val="000000"/>
          <w:sz w:val="36"/>
        </w:rPr>
        <w:t>FORM 8-K</w:t>
      </w:r>
    </w:p>
    <w:p>
      <w:pPr>
        <w:pStyle w:val="TextBody"/>
        <w:bidi w:val="0"/>
        <w:spacing w:before="16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b/>
          <w:color w:val="000000"/>
          <w:sz w:val="24"/>
        </w:rPr>
      </w:pPr>
      <w:r>
        <w:rPr>
          <w:rFonts w:ascii="Times New Roman" w:hAnsi="Times New Roman"/>
          <w:b/>
          <w:color w:val="000000"/>
          <w:sz w:val="24"/>
        </w:rPr>
        <w:t>Pursuant to Section 13 or 15(d)</w:t>
      </w:r>
    </w:p>
    <w:p>
      <w:pPr>
        <w:pStyle w:val="TextBody"/>
        <w:bidi w:val="0"/>
        <w:jc w:val="center"/>
        <w:rPr>
          <w:rFonts w:ascii="Times New Roman" w:hAnsi="Times New Roman"/>
          <w:b/>
          <w:color w:val="000000"/>
          <w:sz w:val="24"/>
        </w:rPr>
      </w:pPr>
      <w:r>
        <w:rPr>
          <w:rFonts w:ascii="Times New Roman" w:hAnsi="Times New Roman"/>
          <w:b/>
          <w:color w:val="000000"/>
          <w:sz w:val="24"/>
        </w:rPr>
        <w:t>of the Securities Exchange Act of 1934</w:t>
      </w:r>
    </w:p>
    <w:p>
      <w:pPr>
        <w:pStyle w:val="TextBody"/>
        <w:bidi w:val="0"/>
        <w:spacing w:before="200" w:after="283"/>
        <w:jc w:val="center"/>
        <w:rPr>
          <w:rFonts w:ascii="Times New Roman" w:hAnsi="Times New Roman"/>
          <w:b/>
          <w:color w:val="000000"/>
          <w:sz w:val="24"/>
        </w:rPr>
      </w:pPr>
      <w:r>
        <w:rPr>
          <w:rFonts w:ascii="Times New Roman" w:hAnsi="Times New Roman"/>
          <w:b/>
          <w:color w:val="000000"/>
          <w:sz w:val="24"/>
        </w:rPr>
        <w:t>Date of Report (Date of earliest event reported): July 14, 2026</w:t>
      </w:r>
    </w:p>
    <w:p>
      <w:pPr>
        <w:pStyle w:val="TextBody"/>
        <w:bidi w:val="0"/>
        <w:spacing w:before="160" w:after="283"/>
        <w:jc w:val="center"/>
        <w:rPr>
          <w:rFonts w:ascii="Times New Roman" w:hAnsi="Times New Roman"/>
          <w:sz w:val="20"/>
        </w:rPr>
      </w:pPr>
      <w:r>
        <w:rPr>
          <w:rFonts w:ascii="Times New Roman" w:hAnsi="Times New Roman"/>
          <w:b/>
          <w:color w:val="000000"/>
          <w:sz w:val="48"/>
        </w:rPr>
        <w:t>ALDEYRA THERAPEUTICS,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tbl>
      <w:tblPr>
        <w:tblW w:w="4885" w:type="dxa"/>
        <w:jc w:val="left"/>
        <w:tblInd w:w="0" w:type="dxa"/>
        <w:tblLayout w:type="fixed"/>
        <w:tblCellMar>
          <w:top w:w="28" w:type="dxa"/>
          <w:left w:w="28" w:type="dxa"/>
          <w:bottom w:w="28" w:type="dxa"/>
          <w:right w:w="28" w:type="dxa"/>
        </w:tblCellMar>
      </w:tblPr>
      <w:tblGrid>
        <w:gridCol w:w="2071"/>
        <w:gridCol w:w="146"/>
        <w:gridCol w:w="1036"/>
        <w:gridCol w:w="146"/>
        <w:gridCol w:w="1486"/>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001-36332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20-1968197</w:t>
            </w:r>
          </w:p>
        </w:tc>
      </w:tr>
      <w:tr>
        <w:trPr/>
        <w:tc>
          <w:tcPr>
            <w:tcW w:w="20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of incorporation)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(Commission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File No.)</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131 Hartwell Avenue, Suite 320</w:t>
      </w:r>
    </w:p>
    <w:p>
      <w:pPr>
        <w:pStyle w:val="TextBody"/>
        <w:bidi w:val="0"/>
        <w:jc w:val="center"/>
        <w:rPr>
          <w:rFonts w:ascii="Times New Roman" w:hAnsi="Times New Roman"/>
          <w:sz w:val="20"/>
        </w:rPr>
      </w:pPr>
      <w:r>
        <w:rPr>
          <w:rFonts w:ascii="Times New Roman" w:hAnsi="Times New Roman"/>
          <w:b/>
          <w:color w:val="000000"/>
          <w:sz w:val="20"/>
        </w:rPr>
        <w:t>Lexington, MA</w:t>
      </w:r>
      <w:r>
        <w:rPr>
          <w:rFonts w:ascii="Times New Roman" w:hAnsi="Times New Roman"/>
          <w:color w:val="000000"/>
          <w:sz w:val="20"/>
        </w:rPr>
        <w:t xml:space="preserve"> </w:t>
      </w:r>
      <w:r>
        <w:rPr>
          <w:rFonts w:ascii="Times New Roman" w:hAnsi="Times New Roman"/>
          <w:b/>
          <w:color w:val="000000"/>
          <w:sz w:val="20"/>
        </w:rPr>
        <w:t>02421</w:t>
      </w:r>
    </w:p>
    <w:p>
      <w:pPr>
        <w:pStyle w:val="TextBody"/>
        <w:bidi w:val="0"/>
        <w:jc w:val="center"/>
        <w:rPr>
          <w:rFonts w:ascii="Times New Roman" w:hAnsi="Times New Roman"/>
          <w:b/>
          <w:color w:val="000000"/>
          <w:sz w:val="16"/>
        </w:rPr>
      </w:pPr>
      <w:r>
        <w:rPr>
          <w:rFonts w:ascii="Times New Roman" w:hAnsi="Times New Roman"/>
          <w:b/>
          <w:color w:val="000000"/>
          <w:sz w:val="16"/>
        </w:rPr>
        <w:t>(Address of principal executive offices and zip code)</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Registrant’s telephone number, including area code: (781) 761-4904</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b/>
          <w:color w:val="000000"/>
          <w:sz w:val="16"/>
        </w:rPr>
      </w:pPr>
      <w:r>
        <w:rPr>
          <w:rFonts w:ascii="Times New Roman" w:hAnsi="Times New Roman"/>
          <w:b/>
          <w:color w:val="000000"/>
          <w:sz w:val="16"/>
        </w:rPr>
        <w:t>(Former Name or Former Address, if Changed Since Last Report)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tbl>
      <w:tblPr>
        <w:tblW w:w="7742" w:type="dxa"/>
        <w:jc w:val="left"/>
        <w:tblInd w:w="0" w:type="dxa"/>
        <w:tblLayout w:type="fixed"/>
        <w:tblCellMar>
          <w:top w:w="28" w:type="dxa"/>
          <w:left w:w="28" w:type="dxa"/>
          <w:bottom w:w="28" w:type="dxa"/>
          <w:right w:w="28" w:type="dxa"/>
        </w:tblCellMar>
      </w:tblPr>
      <w:tblGrid>
        <w:gridCol w:w="331"/>
        <w:gridCol w:w="7411"/>
      </w:tblGrid>
      <w:tr>
        <w:trPr/>
        <w:tc>
          <w:tcPr>
            <w:tcW w:w="331" w:type="dxa"/>
            <w:tcBorders/>
            <w:vAlign w:val="center"/>
          </w:tcPr>
          <w:p>
            <w:pPr>
              <w:pStyle w:val="TableContents"/>
              <w:bidi w:val="0"/>
              <w:spacing w:before="0" w:after="283"/>
              <w:jc w:val="left"/>
              <w:rPr>
                <w:sz w:val="4"/>
                <w:szCs w:val="4"/>
              </w:rPr>
            </w:pPr>
            <w:r>
              <w:rPr>
                <w:sz w:val="4"/>
                <w:szCs w:val="4"/>
              </w:rPr>
            </w:r>
          </w:p>
        </w:tc>
        <w:tc>
          <w:tcPr>
            <w:tcW w:w="741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tbl>
      <w:tblPr>
        <w:tblW w:w="7772" w:type="dxa"/>
        <w:jc w:val="left"/>
        <w:tblInd w:w="0" w:type="dxa"/>
        <w:tblLayout w:type="fixed"/>
        <w:tblCellMar>
          <w:top w:w="28" w:type="dxa"/>
          <w:left w:w="28" w:type="dxa"/>
          <w:bottom w:w="28" w:type="dxa"/>
          <w:right w:w="28" w:type="dxa"/>
        </w:tblCellMar>
      </w:tblPr>
      <w:tblGrid>
        <w:gridCol w:w="331"/>
        <w:gridCol w:w="7441"/>
      </w:tblGrid>
      <w:tr>
        <w:trPr/>
        <w:tc>
          <w:tcPr>
            <w:tcW w:w="331" w:type="dxa"/>
            <w:tcBorders/>
            <w:vAlign w:val="center"/>
          </w:tcPr>
          <w:p>
            <w:pPr>
              <w:pStyle w:val="TableContents"/>
              <w:bidi w:val="0"/>
              <w:spacing w:before="0" w:after="283"/>
              <w:jc w:val="left"/>
              <w:rPr>
                <w:sz w:val="4"/>
                <w:szCs w:val="4"/>
              </w:rPr>
            </w:pPr>
            <w:r>
              <w:rPr>
                <w:sz w:val="4"/>
                <w:szCs w:val="4"/>
              </w:rPr>
            </w:r>
          </w:p>
        </w:tc>
        <w:tc>
          <w:tcPr>
            <w:tcW w:w="744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tbl>
      <w:tblPr>
        <w:tblW w:w="9452" w:type="dxa"/>
        <w:jc w:val="left"/>
        <w:tblInd w:w="0" w:type="dxa"/>
        <w:tblLayout w:type="fixed"/>
        <w:tblCellMar>
          <w:top w:w="28" w:type="dxa"/>
          <w:left w:w="28" w:type="dxa"/>
          <w:bottom w:w="28" w:type="dxa"/>
          <w:right w:w="28" w:type="dxa"/>
        </w:tblCellMar>
      </w:tblPr>
      <w:tblGrid>
        <w:gridCol w:w="331"/>
        <w:gridCol w:w="9121"/>
      </w:tblGrid>
      <w:tr>
        <w:trPr/>
        <w:tc>
          <w:tcPr>
            <w:tcW w:w="331" w:type="dxa"/>
            <w:tcBorders/>
            <w:vAlign w:val="center"/>
          </w:tcPr>
          <w:p>
            <w:pPr>
              <w:pStyle w:val="TableContents"/>
              <w:bidi w:val="0"/>
              <w:spacing w:before="0" w:after="283"/>
              <w:jc w:val="left"/>
              <w:rPr>
                <w:sz w:val="4"/>
                <w:szCs w:val="4"/>
              </w:rPr>
            </w:pPr>
            <w:r>
              <w:rPr>
                <w:sz w:val="4"/>
                <w:szCs w:val="4"/>
              </w:rPr>
            </w:r>
          </w:p>
        </w:tc>
        <w:tc>
          <w:tcPr>
            <w:tcW w:w="912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7390" w:type="dxa"/>
        <w:jc w:val="left"/>
        <w:tblInd w:w="0" w:type="dxa"/>
        <w:tblLayout w:type="fixed"/>
        <w:tblCellMar>
          <w:top w:w="28" w:type="dxa"/>
          <w:left w:w="28" w:type="dxa"/>
          <w:bottom w:w="28" w:type="dxa"/>
          <w:right w:w="28" w:type="dxa"/>
        </w:tblCellMar>
      </w:tblPr>
      <w:tblGrid>
        <w:gridCol w:w="3601"/>
        <w:gridCol w:w="146"/>
        <w:gridCol w:w="826"/>
        <w:gridCol w:w="146"/>
        <w:gridCol w:w="2671"/>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r>
      <w:tr>
        <w:trPr/>
        <w:tc>
          <w:tcPr>
            <w:tcW w:w="36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71"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Name of each exchange</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on which registered</w:t>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ALDX</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p>
    <w:p>
      <w:pPr>
        <w:pStyle w:val="TextBody"/>
        <w:pBdr>
          <w:bottom w:val="single" w:sz="8" w:space="1" w:color="808080"/>
        </w:pBdr>
        <w:bidi w:val="0"/>
        <w:jc w:val="left"/>
        <w:rPr/>
      </w:pPr>
      <w:r>
        <w:rPr/>
        <w:t> </w:t>
      </w:r>
    </w:p>
    <w:p>
      <w:pPr>
        <w:pStyle w:val="TextBody"/>
        <w:bidi w:val="0"/>
        <w:jc w:val="left"/>
        <w:rPr/>
      </w:pPr>
      <w:r>
        <w:rPr/>
        <w:t> </w:t>
      </w:r>
    </w:p>
    <w:tbl>
      <w:tblPr>
        <w:tblW w:w="2312" w:type="dxa"/>
        <w:jc w:val="left"/>
        <w:tblInd w:w="0" w:type="dxa"/>
        <w:tblLayout w:type="fixed"/>
        <w:tblCellMar>
          <w:top w:w="28" w:type="dxa"/>
          <w:left w:w="28" w:type="dxa"/>
          <w:bottom w:w="28" w:type="dxa"/>
          <w:right w:w="28" w:type="dxa"/>
        </w:tblCellMar>
      </w:tblPr>
      <w:tblGrid>
        <w:gridCol w:w="961"/>
        <w:gridCol w:w="1351"/>
      </w:tblGrid>
      <w:tr>
        <w:trPr/>
        <w:tc>
          <w:tcPr>
            <w:tcW w:w="961"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r>
      <w:tr>
        <w:trPr/>
        <w:tc>
          <w:tcPr>
            <w:tcW w:w="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8.01.</w:t>
            </w:r>
          </w:p>
        </w:tc>
        <w:tc>
          <w:tcPr>
            <w:tcW w:w="13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Other Events.</w:t>
            </w:r>
            <w:r>
              <w:rPr>
                <w:rFonts w:ascii="Times New Roman" w:hAnsi="Times New Roman"/>
                <w:color w:val="000000"/>
                <w:sz w:val="20"/>
              </w:rPr>
              <w:t xml:space="preserve">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14, 2026, Aldeyra Therapeutics, Inc. (Aldeyra) received minutes (the Minutes) from a Type A meeting, held on June 10, 2026 with the U.S. Food and Drug Administration (FDA), regarding potential resubmission of the New Drug Application (NDA) of reproxalap for the treatment of dry eye disease. On July 15, 2026, Aldeyra requested a clarification of the Minutes from the FDA. In addition, Aldeyra intends to request a Type D meeting with the FDA to discuss potential resubmission of the NDA. The Type D meeting is expected to be held by the end of the third quarter of 2026.</w:t>
      </w:r>
    </w:p>
    <w:p>
      <w:pPr>
        <w:pStyle w:val="TextBody"/>
        <w:bidi w:val="0"/>
        <w:jc w:val="left"/>
        <w:rPr/>
      </w:pPr>
      <w:r>
        <w:rPr/>
        <w:t> </w:t>
      </w:r>
    </w:p>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pBdr>
          <w:bottom w:val="single" w:sz="8" w:space="1" w:color="808080"/>
        </w:pBdr>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SIGNATURE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tbl>
      <w:tblPr>
        <w:tblW w:w="3118" w:type="dxa"/>
        <w:jc w:val="left"/>
        <w:tblInd w:w="0" w:type="dxa"/>
        <w:tblLayout w:type="fixed"/>
        <w:tblCellMar>
          <w:top w:w="28" w:type="dxa"/>
          <w:left w:w="28" w:type="dxa"/>
          <w:bottom w:w="28" w:type="dxa"/>
          <w:right w:w="28" w:type="dxa"/>
        </w:tblCellMar>
      </w:tblPr>
      <w:tblGrid>
        <w:gridCol w:w="646"/>
        <w:gridCol w:w="146"/>
        <w:gridCol w:w="2326"/>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1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ALDEYRA THERAPEUTICS, INC.</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Todd C. Brady</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Todd C. Brady M.D., Ph.D.</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Dated July 15, 2026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462</Words>
  <Characters>2455</Characters>
  <CharactersWithSpaces>2885</CharactersWithSpaces>
  <Paragraphs>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